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D6FA3" w14:textId="77777777" w:rsidR="005C7B8C" w:rsidRPr="001B5503" w:rsidRDefault="007B6860" w:rsidP="00153C4A">
      <w:pPr>
        <w:pStyle w:val="Subttulo"/>
      </w:pPr>
      <w:r w:rsidRPr="001B5503">
        <w:t>E</w:t>
      </w:r>
      <w:r w:rsidR="00B57D08" w:rsidRPr="001B5503">
        <w:t xml:space="preserve">valuation </w:t>
      </w:r>
      <w:r w:rsidR="00E62500" w:rsidRPr="001B5503">
        <w:t xml:space="preserve">of </w:t>
      </w:r>
      <w:r w:rsidR="003E0DB8" w:rsidRPr="001B5503">
        <w:t>multiple</w:t>
      </w:r>
      <w:r w:rsidR="00E62500" w:rsidRPr="001B5503">
        <w:t xml:space="preserve"> cation</w:t>
      </w:r>
      <w:r w:rsidR="003E0DB8" w:rsidRPr="001B5503">
        <w:t>/anion</w:t>
      </w:r>
      <w:r w:rsidR="00E62500" w:rsidRPr="001B5503">
        <w:t xml:space="preserve"> perovskite solar cells </w:t>
      </w:r>
      <w:r w:rsidR="00B57D08" w:rsidRPr="001B5503">
        <w:t xml:space="preserve">through </w:t>
      </w:r>
      <w:r w:rsidR="006B33E5" w:rsidRPr="001B5503">
        <w:t>l</w:t>
      </w:r>
      <w:r w:rsidR="005C7B8C" w:rsidRPr="001B5503">
        <w:t>ife cycle assessment</w:t>
      </w:r>
    </w:p>
    <w:p w14:paraId="7D207A35" w14:textId="77777777" w:rsidR="005A5503" w:rsidRPr="00343A6E" w:rsidRDefault="005A5503" w:rsidP="005A5503">
      <w:pPr>
        <w:rPr>
          <w:lang w:val="es-ES"/>
        </w:rPr>
      </w:pPr>
      <w:r w:rsidRPr="00343A6E">
        <w:rPr>
          <w:lang w:val="es-ES"/>
        </w:rPr>
        <w:t>Jaume-Adrià Alberola-Borràs</w:t>
      </w:r>
      <w:r w:rsidR="003E0DB8" w:rsidRPr="00343A6E">
        <w:rPr>
          <w:lang w:val="es-ES"/>
        </w:rPr>
        <w:t>,</w:t>
      </w:r>
      <w:r w:rsidRPr="00343A6E">
        <w:rPr>
          <w:vertAlign w:val="superscript"/>
          <w:lang w:val="es-ES"/>
        </w:rPr>
        <w:t>a</w:t>
      </w:r>
      <w:r w:rsidR="003E0DB8" w:rsidRPr="00343A6E">
        <w:rPr>
          <w:vertAlign w:val="superscript"/>
          <w:lang w:val="es-ES"/>
        </w:rPr>
        <w:t>,b</w:t>
      </w:r>
      <w:r w:rsidRPr="00343A6E">
        <w:rPr>
          <w:lang w:val="es-ES"/>
        </w:rPr>
        <w:t xml:space="preserve"> Rosario Vidal</w:t>
      </w:r>
      <w:r w:rsidR="003E0DB8" w:rsidRPr="00343A6E">
        <w:rPr>
          <w:lang w:val="es-ES"/>
        </w:rPr>
        <w:t>,</w:t>
      </w:r>
      <w:r w:rsidRPr="00343A6E">
        <w:rPr>
          <w:vertAlign w:val="superscript"/>
          <w:lang w:val="es-ES"/>
        </w:rPr>
        <w:t>a</w:t>
      </w:r>
      <w:r w:rsidR="003E0DB8" w:rsidRPr="00343A6E">
        <w:rPr>
          <w:vertAlign w:val="superscript"/>
          <w:lang w:val="es-ES"/>
        </w:rPr>
        <w:t>,</w:t>
      </w:r>
      <w:r w:rsidR="003E0DB8" w:rsidRPr="00343A6E">
        <w:rPr>
          <w:lang w:val="es-ES"/>
        </w:rPr>
        <w:t>*</w:t>
      </w:r>
      <w:r w:rsidR="00BB4C4B" w:rsidRPr="00343A6E">
        <w:rPr>
          <w:lang w:val="es-ES"/>
        </w:rPr>
        <w:t xml:space="preserve"> Iván Mora-Seró</w:t>
      </w:r>
      <w:r w:rsidRPr="00343A6E">
        <w:rPr>
          <w:vertAlign w:val="superscript"/>
          <w:lang w:val="es-ES"/>
        </w:rPr>
        <w:t>b,</w:t>
      </w:r>
      <w:r w:rsidRPr="00343A6E">
        <w:rPr>
          <w:lang w:val="es-ES"/>
        </w:rPr>
        <w:t>*</w:t>
      </w:r>
    </w:p>
    <w:p w14:paraId="61FD33B8" w14:textId="77777777" w:rsidR="005A5503" w:rsidRPr="001B5503" w:rsidRDefault="005A5503" w:rsidP="005A5503">
      <w:r w:rsidRPr="00343A6E">
        <w:rPr>
          <w:vertAlign w:val="superscript"/>
          <w:lang w:val="es-ES"/>
        </w:rPr>
        <w:t>a</w:t>
      </w:r>
      <w:r w:rsidR="001B5503" w:rsidRPr="00343A6E">
        <w:rPr>
          <w:vertAlign w:val="superscript"/>
          <w:lang w:val="es-ES"/>
        </w:rPr>
        <w:t xml:space="preserve"> </w:t>
      </w:r>
      <w:r w:rsidRPr="00343A6E">
        <w:rPr>
          <w:lang w:val="es-ES"/>
        </w:rPr>
        <w:t>Grupo</w:t>
      </w:r>
      <w:r w:rsidR="001B5503" w:rsidRPr="00343A6E">
        <w:rPr>
          <w:lang w:val="es-ES"/>
        </w:rPr>
        <w:t xml:space="preserve"> </w:t>
      </w:r>
      <w:r w:rsidRPr="00343A6E">
        <w:rPr>
          <w:lang w:val="es-ES"/>
        </w:rPr>
        <w:t>de Ingeniería de Diseño (GID), Departament</w:t>
      </w:r>
      <w:r w:rsidR="001B5503" w:rsidRPr="00343A6E">
        <w:rPr>
          <w:lang w:val="es-ES"/>
        </w:rPr>
        <w:t xml:space="preserve"> </w:t>
      </w:r>
      <w:r w:rsidRPr="00343A6E">
        <w:rPr>
          <w:lang w:val="es-ES"/>
        </w:rPr>
        <w:t>d’enginyeria</w:t>
      </w:r>
      <w:r w:rsidR="001B5503" w:rsidRPr="00343A6E">
        <w:rPr>
          <w:lang w:val="es-ES"/>
        </w:rPr>
        <w:t xml:space="preserve"> </w:t>
      </w:r>
      <w:r w:rsidRPr="00343A6E">
        <w:rPr>
          <w:lang w:val="es-ES"/>
        </w:rPr>
        <w:t xml:space="preserve">mecànica i construcció, Universitat Jaume I, Av. </w:t>
      </w:r>
      <w:r w:rsidRPr="001B5503">
        <w:t>SosBaynat s/n, 12071 Castelló, Spain</w:t>
      </w:r>
    </w:p>
    <w:p w14:paraId="49B60C69" w14:textId="77777777" w:rsidR="005A5503" w:rsidRPr="001B5503" w:rsidRDefault="005A5503" w:rsidP="005A5503">
      <w:r w:rsidRPr="001B5503">
        <w:rPr>
          <w:vertAlign w:val="superscript"/>
        </w:rPr>
        <w:t>b</w:t>
      </w:r>
      <w:r w:rsidR="001B5503" w:rsidRPr="001B5503">
        <w:rPr>
          <w:vertAlign w:val="superscript"/>
        </w:rPr>
        <w:t xml:space="preserve"> </w:t>
      </w:r>
      <w:r w:rsidRPr="001B5503">
        <w:t>Institute of Advanced Materials (INAM), Universitat</w:t>
      </w:r>
      <w:r w:rsidR="001B5503" w:rsidRPr="001B5503">
        <w:t xml:space="preserve"> </w:t>
      </w:r>
      <w:r w:rsidR="00AB7361" w:rsidRPr="001B5503">
        <w:t>J</w:t>
      </w:r>
      <w:r w:rsidRPr="001B5503">
        <w:t>aume I, Av. Sos</w:t>
      </w:r>
      <w:r w:rsidR="001B5503" w:rsidRPr="001B5503">
        <w:t xml:space="preserve"> </w:t>
      </w:r>
      <w:r w:rsidRPr="001B5503">
        <w:t>Baynat, s/n, 120</w:t>
      </w:r>
      <w:r w:rsidR="00AB7361" w:rsidRPr="001B5503">
        <w:t>06 Castelló</w:t>
      </w:r>
      <w:r w:rsidRPr="001B5503">
        <w:t>, Spain</w:t>
      </w:r>
    </w:p>
    <w:p w14:paraId="6806E791" w14:textId="77777777" w:rsidR="005A5503" w:rsidRPr="001B5503" w:rsidRDefault="00485D52" w:rsidP="00485D52">
      <w:r w:rsidRPr="001B5503">
        <w:t>Electronic supplementary information (ESI) available: Inventory data, impact scores, further analyses, and abiotic depletion characterisation factor update.</w:t>
      </w:r>
    </w:p>
    <w:p w14:paraId="6BEE9431" w14:textId="77777777" w:rsidR="005A5503" w:rsidRPr="001B5503" w:rsidRDefault="005A5503" w:rsidP="005A5503">
      <w:r w:rsidRPr="001B5503">
        <w:t xml:space="preserve">*Corresponding author. E-mail: </w:t>
      </w:r>
      <w:r w:rsidR="003E0DB8" w:rsidRPr="00156353">
        <w:t>vidal@uji.es</w:t>
      </w:r>
      <w:r w:rsidR="003E0DB8" w:rsidRPr="001B5503">
        <w:t xml:space="preserve">; </w:t>
      </w:r>
      <w:r w:rsidRPr="00156353">
        <w:t>sero@uji.es</w:t>
      </w:r>
      <w:r w:rsidRPr="001B5503">
        <w:t>. Tel: +34 964387552</w:t>
      </w:r>
    </w:p>
    <w:p w14:paraId="3AB818EF" w14:textId="77777777" w:rsidR="005A5503" w:rsidRPr="001B5503" w:rsidRDefault="005A5503">
      <w:pPr>
        <w:spacing w:after="160" w:afterAutospacing="0" w:line="259" w:lineRule="auto"/>
        <w:jc w:val="left"/>
      </w:pPr>
    </w:p>
    <w:p w14:paraId="43A1497D" w14:textId="77777777" w:rsidR="00153C4A" w:rsidRPr="001B5503" w:rsidRDefault="00153C4A" w:rsidP="00153C4A">
      <w:pPr>
        <w:pStyle w:val="Subttulo"/>
      </w:pPr>
      <w:r w:rsidRPr="001B5503">
        <w:t>Abstract</w:t>
      </w:r>
    </w:p>
    <w:p w14:paraId="1D8D10E3" w14:textId="77777777" w:rsidR="00CB7D5E" w:rsidRDefault="00E52145" w:rsidP="00CB7D5E">
      <w:r w:rsidRPr="001B5503">
        <w:t>After the great</w:t>
      </w:r>
      <w:r w:rsidR="00DA0CBB" w:rsidRPr="001B5503">
        <w:t xml:space="preserve"> initiation of perovskite as a photovoltaic material, </w:t>
      </w:r>
      <w:r w:rsidR="003E0DB8" w:rsidRPr="001B5503">
        <w:t xml:space="preserve">laboratory efficiencies similar </w:t>
      </w:r>
      <w:r w:rsidR="001B5503" w:rsidRPr="001B5503">
        <w:t>to</w:t>
      </w:r>
      <w:r w:rsidR="003E0DB8" w:rsidRPr="001B5503">
        <w:t xml:space="preserve"> other photovoltaic technologies already commerciali</w:t>
      </w:r>
      <w:r w:rsidR="00610995" w:rsidRPr="001B5503">
        <w:t>s</w:t>
      </w:r>
      <w:r w:rsidR="003E0DB8" w:rsidRPr="001B5503">
        <w:t xml:space="preserve">ed have been reached. Consequently, </w:t>
      </w:r>
      <w:r w:rsidR="00DA0CBB" w:rsidRPr="001B5503">
        <w:t>r</w:t>
      </w:r>
      <w:r w:rsidR="004B58D7" w:rsidRPr="001B5503">
        <w:t xml:space="preserve">ecent </w:t>
      </w:r>
      <w:r w:rsidR="00DA0CBB" w:rsidRPr="001B5503">
        <w:t>research interests</w:t>
      </w:r>
      <w:r w:rsidR="001B5503" w:rsidRPr="001B5503">
        <w:t xml:space="preserve"> </w:t>
      </w:r>
      <w:r w:rsidR="00DA0CBB" w:rsidRPr="001B5503">
        <w:t>on</w:t>
      </w:r>
      <w:r w:rsidR="004E73E7" w:rsidRPr="001B5503">
        <w:t xml:space="preserve"> perovsk</w:t>
      </w:r>
      <w:r w:rsidR="00DA0CBB" w:rsidRPr="001B5503">
        <w:t xml:space="preserve">ite solar cells try to address the stability </w:t>
      </w:r>
      <w:r w:rsidR="003E0DB8" w:rsidRPr="001B5503">
        <w:t xml:space="preserve">improvement </w:t>
      </w:r>
      <w:r w:rsidR="00DA0CBB" w:rsidRPr="001B5503">
        <w:t xml:space="preserve">as well as make </w:t>
      </w:r>
      <w:r w:rsidR="001B15CB" w:rsidRPr="001B5503">
        <w:t xml:space="preserve">its </w:t>
      </w:r>
      <w:r w:rsidR="00DA0CBB" w:rsidRPr="001B5503">
        <w:t>industrialisation possible.</w:t>
      </w:r>
      <w:r w:rsidR="00594635">
        <w:t xml:space="preserve"> </w:t>
      </w:r>
      <w:r w:rsidR="003E0DB8" w:rsidRPr="001B5503">
        <w:t>Record efficiencies in perovskite solar cells (PSCs) have been</w:t>
      </w:r>
      <w:r w:rsidR="00594635">
        <w:t xml:space="preserve"> </w:t>
      </w:r>
      <w:r w:rsidR="004609B5" w:rsidRPr="001B5503">
        <w:t xml:space="preserve">achieved </w:t>
      </w:r>
      <w:r w:rsidR="003E0DB8" w:rsidRPr="001B5503">
        <w:t xml:space="preserve">using as active material a multiple cation/anion perovskite </w:t>
      </w:r>
      <w:r w:rsidR="004609B5" w:rsidRPr="001B5503">
        <w:t>b</w:t>
      </w:r>
      <w:r w:rsidR="00B234C7" w:rsidRPr="001B5503">
        <w:t xml:space="preserve">y combining </w:t>
      </w:r>
      <w:r w:rsidR="003E0DB8" w:rsidRPr="001B5503">
        <w:t>methylammonium</w:t>
      </w:r>
      <w:r w:rsidR="003E15AC" w:rsidRPr="001B5503">
        <w:t xml:space="preserve"> (MA)</w:t>
      </w:r>
      <w:r w:rsidR="003E0DB8" w:rsidRPr="001B5503">
        <w:t xml:space="preserve"> and formamidinium</w:t>
      </w:r>
      <w:r w:rsidR="003E15AC" w:rsidRPr="001B5503">
        <w:t xml:space="preserve"> (FA)</w:t>
      </w:r>
      <w:r w:rsidR="0024557D" w:rsidRPr="001B5503">
        <w:t>,</w:t>
      </w:r>
      <w:r w:rsidR="003E0DB8" w:rsidRPr="001B5503">
        <w:t xml:space="preserve"> but also Cs </w:t>
      </w:r>
      <w:r w:rsidR="00E03F4B" w:rsidRPr="001B5503">
        <w:t xml:space="preserve">cation </w:t>
      </w:r>
      <w:r w:rsidR="003E0DB8" w:rsidRPr="001B5503">
        <w:t>and I and Br as anions</w:t>
      </w:r>
      <w:r w:rsidR="00583092" w:rsidRPr="001B5503">
        <w:t>,</w:t>
      </w:r>
      <w:r w:rsidR="003E0DB8" w:rsidRPr="001B5503">
        <w:t xml:space="preserve"> material</w:t>
      </w:r>
      <w:r w:rsidR="00006969" w:rsidRPr="001B5503">
        <w:t>s</w:t>
      </w:r>
      <w:r w:rsidR="003E0DB8" w:rsidRPr="001B5503">
        <w:t xml:space="preserve"> that also ha</w:t>
      </w:r>
      <w:r w:rsidR="000430AC" w:rsidRPr="001B5503">
        <w:t>ve</w:t>
      </w:r>
      <w:r w:rsidR="003E0DB8" w:rsidRPr="001B5503">
        <w:t xml:space="preserve"> demonstrated a superior stability</w:t>
      </w:r>
      <w:r w:rsidR="006621AF" w:rsidRPr="001B5503">
        <w:t>.</w:t>
      </w:r>
      <w:r w:rsidR="00677FDE" w:rsidRPr="001B5503">
        <w:t xml:space="preserve"> Herein, the environmental performance of the production of such </w:t>
      </w:r>
      <w:r w:rsidR="006560BE" w:rsidRPr="001B5503">
        <w:t xml:space="preserve">perovskite </w:t>
      </w:r>
      <w:r w:rsidR="00677FDE" w:rsidRPr="001B5503">
        <w:t xml:space="preserve">films was </w:t>
      </w:r>
      <w:r w:rsidR="003E0DB8" w:rsidRPr="001B5503">
        <w:t>evaluated</w:t>
      </w:r>
      <w:r w:rsidR="00677FDE" w:rsidRPr="001B5503">
        <w:t xml:space="preserve"> via life cycle assessment. </w:t>
      </w:r>
      <w:r w:rsidR="003E15AC" w:rsidRPr="001B5503">
        <w:t>Our study points out that</w:t>
      </w:r>
      <w:r w:rsidR="00594635">
        <w:t xml:space="preserve"> </w:t>
      </w:r>
      <w:r w:rsidR="00006969" w:rsidRPr="001B5503">
        <w:t>multi</w:t>
      </w:r>
      <w:r w:rsidR="004609B5" w:rsidRPr="001B5503">
        <w:t>ple cation</w:t>
      </w:r>
      <w:r w:rsidR="00006969" w:rsidRPr="001B5503">
        <w:t>/anion</w:t>
      </w:r>
      <w:r w:rsidR="004609B5" w:rsidRPr="001B5503">
        <w:t xml:space="preserve"> perovskite films show</w:t>
      </w:r>
      <w:r w:rsidR="00677FDE" w:rsidRPr="001B5503">
        <w:t xml:space="preserve"> m</w:t>
      </w:r>
      <w:r w:rsidR="00FD305E" w:rsidRPr="001B5503">
        <w:t>ajo</w:t>
      </w:r>
      <w:r w:rsidR="00677FDE" w:rsidRPr="001B5503">
        <w:t>r</w:t>
      </w:r>
      <w:r w:rsidR="004609B5" w:rsidRPr="001B5503">
        <w:t xml:space="preserve"> detrimental </w:t>
      </w:r>
      <w:r w:rsidR="00006969" w:rsidRPr="001B5503">
        <w:t xml:space="preserve">environmental </w:t>
      </w:r>
      <w:r w:rsidR="004609B5" w:rsidRPr="001B5503">
        <w:t>impacts for all categories assessed</w:t>
      </w:r>
      <w:r w:rsidR="00006969" w:rsidRPr="001B5503">
        <w:t>, except for abiotic depletion potential,</w:t>
      </w:r>
      <w:r w:rsidR="004609B5" w:rsidRPr="001B5503">
        <w:t xml:space="preserve"> when they </w:t>
      </w:r>
      <w:r w:rsidR="00D43873" w:rsidRPr="001B5503">
        <w:t>a</w:t>
      </w:r>
      <w:r w:rsidR="004609B5" w:rsidRPr="001B5503">
        <w:t>re compared with a canonical perovskite</w:t>
      </w:r>
      <w:r w:rsidR="00594635">
        <w:t xml:space="preserve"> </w:t>
      </w:r>
      <w:r w:rsidR="00006969" w:rsidRPr="001B5503">
        <w:t>MAPbI</w:t>
      </w:r>
      <w:r w:rsidR="00006969" w:rsidRPr="001B5503">
        <w:rPr>
          <w:vertAlign w:val="subscript"/>
        </w:rPr>
        <w:t>3</w:t>
      </w:r>
      <w:r w:rsidR="00677FDE" w:rsidRPr="001B5503">
        <w:t>.</w:t>
      </w:r>
      <w:r w:rsidR="00594635">
        <w:t xml:space="preserve"> </w:t>
      </w:r>
      <w:r w:rsidR="002208BB" w:rsidRPr="001B5503">
        <w:t xml:space="preserve">In addition, a closer analysis of the materials utilised for </w:t>
      </w:r>
      <w:r w:rsidR="00006969" w:rsidRPr="001B5503">
        <w:t>the synthesis of the different multi</w:t>
      </w:r>
      <w:r w:rsidR="002208BB" w:rsidRPr="001B5503">
        <w:t>ple cation perovsk</w:t>
      </w:r>
      <w:r w:rsidR="00006969" w:rsidRPr="001B5503">
        <w:t xml:space="preserve">ites compositions revealed that lead halide </w:t>
      </w:r>
      <w:r w:rsidR="002208BB" w:rsidRPr="001B5503">
        <w:t>reagent</w:t>
      </w:r>
      <w:r w:rsidR="00006969" w:rsidRPr="001B5503">
        <w:t>s</w:t>
      </w:r>
      <w:r w:rsidR="002208BB" w:rsidRPr="001B5503">
        <w:t xml:space="preserve"> and chlorobenzene were the most adverse compounds</w:t>
      </w:r>
      <w:r w:rsidR="00006969" w:rsidRPr="001B5503">
        <w:t xml:space="preserve"> in term</w:t>
      </w:r>
      <w:r w:rsidR="000430AC" w:rsidRPr="001B5503">
        <w:t>s</w:t>
      </w:r>
      <w:r w:rsidR="00006969" w:rsidRPr="001B5503">
        <w:t xml:space="preserve"> of impact</w:t>
      </w:r>
      <w:r w:rsidR="002208BB" w:rsidRPr="001B5503">
        <w:t>.</w:t>
      </w:r>
      <w:r w:rsidR="00594635">
        <w:t xml:space="preserve"> </w:t>
      </w:r>
      <w:r w:rsidR="008F011A" w:rsidRPr="001B5503">
        <w:t xml:space="preserve">However, </w:t>
      </w:r>
      <w:r w:rsidR="00006969" w:rsidRPr="001B5503">
        <w:t>the former is used in all the perovskite compositions and the later can be avoided by the use of alternative fabrication methods to anti-solvent. To this exten</w:t>
      </w:r>
      <w:r w:rsidR="000430AC" w:rsidRPr="001B5503">
        <w:t>t</w:t>
      </w:r>
      <w:r w:rsidR="00006969" w:rsidRPr="001B5503">
        <w:t>, FAI</w:t>
      </w:r>
      <w:r w:rsidR="00594635">
        <w:t xml:space="preserve">, with the current synthesis procedures, </w:t>
      </w:r>
      <w:r w:rsidR="00006969" w:rsidRPr="001B5503">
        <w:t>i</w:t>
      </w:r>
      <w:r w:rsidR="008F011A" w:rsidRPr="001B5503">
        <w:t>s the most determining compound</w:t>
      </w:r>
      <w:r w:rsidR="00006969" w:rsidRPr="001B5503">
        <w:t xml:space="preserve"> as </w:t>
      </w:r>
      <w:r w:rsidR="00D43873" w:rsidRPr="001B5503">
        <w:t xml:space="preserve">it </w:t>
      </w:r>
      <w:r w:rsidR="00006969" w:rsidRPr="001B5503">
        <w:t>increases significantly the impacts and the cost in comparison with MAI</w:t>
      </w:r>
      <w:r w:rsidR="008F011A" w:rsidRPr="001B5503">
        <w:t>.</w:t>
      </w:r>
      <w:r w:rsidR="00594635">
        <w:t xml:space="preserve"> </w:t>
      </w:r>
      <w:r w:rsidR="002444E2" w:rsidRPr="001B5503">
        <w:t xml:space="preserve">A further economic analysis, exposed that </w:t>
      </w:r>
      <w:r w:rsidR="003E15AC" w:rsidRPr="001B5503">
        <w:t>multiple</w:t>
      </w:r>
      <w:r w:rsidR="002444E2" w:rsidRPr="001B5503">
        <w:t xml:space="preserve"> cation perovskite</w:t>
      </w:r>
      <w:r w:rsidR="008F011A" w:rsidRPr="001B5503">
        <w:t>s</w:t>
      </w:r>
      <w:r w:rsidR="00594635">
        <w:t xml:space="preserve"> </w:t>
      </w:r>
      <w:r w:rsidR="00006969" w:rsidRPr="001B5503">
        <w:t>need a significant</w:t>
      </w:r>
      <w:r w:rsidR="00D43873" w:rsidRPr="001B5503">
        <w:t>ly</w:t>
      </w:r>
      <w:r w:rsidR="00006969" w:rsidRPr="001B5503">
        <w:t xml:space="preserve"> higher photoconversion </w:t>
      </w:r>
      <w:bookmarkStart w:id="0" w:name="_GoBack"/>
      <w:r w:rsidR="00006969" w:rsidRPr="001B5503">
        <w:t>efficiency to produce the same payback times than canonical perovskite</w:t>
      </w:r>
      <w:r w:rsidR="00D43873" w:rsidRPr="001B5503">
        <w:t>.</w:t>
      </w:r>
    </w:p>
    <w:bookmarkEnd w:id="0"/>
    <w:p w14:paraId="47CD8B16" w14:textId="77777777" w:rsidR="00276416" w:rsidRDefault="00276416">
      <w:pPr>
        <w:spacing w:after="160" w:afterAutospacing="0" w:line="259" w:lineRule="auto"/>
        <w:jc w:val="left"/>
      </w:pPr>
      <w:r>
        <w:br w:type="page"/>
      </w:r>
    </w:p>
    <w:p w14:paraId="335DB4CB" w14:textId="77777777" w:rsidR="008738A3" w:rsidRPr="001B5503" w:rsidRDefault="00153C4A" w:rsidP="008738A3">
      <w:pPr>
        <w:pStyle w:val="Ttulo1"/>
      </w:pPr>
      <w:r w:rsidRPr="001B5503">
        <w:lastRenderedPageBreak/>
        <w:t>Introduction</w:t>
      </w:r>
    </w:p>
    <w:p w14:paraId="2CED9581" w14:textId="77777777" w:rsidR="00D93CB6" w:rsidRPr="001B5503" w:rsidRDefault="00BC3BFA" w:rsidP="00D93CB6">
      <w:r w:rsidRPr="001B5503">
        <w:t>Perovskite solar cells</w:t>
      </w:r>
      <w:r w:rsidR="00F27DA9" w:rsidRPr="001B5503">
        <w:t xml:space="preserve"> (PSCs)</w:t>
      </w:r>
      <w:r w:rsidRPr="001B5503">
        <w:t xml:space="preserve"> have experienced an un</w:t>
      </w:r>
      <w:r w:rsidR="00B769AF" w:rsidRPr="001B5503">
        <w:t>precedented</w:t>
      </w:r>
      <w:r w:rsidRPr="001B5503">
        <w:t xml:space="preserve"> rise since they were discove</w:t>
      </w:r>
      <w:r w:rsidR="00561B9E" w:rsidRPr="001B5503">
        <w:t>red in 2009</w:t>
      </w:r>
      <w:r w:rsidR="0099656C" w:rsidRPr="001B5503">
        <w:fldChar w:fldCharType="begin" w:fldLock="1"/>
      </w:r>
      <w:r w:rsidR="0020768A" w:rsidRPr="001B5503">
        <w:instrText>ADDIN CSL_CITATION { "citationItems" : [ { "id" : "ITEM-1", "itemData" : { "DOI" : "10.1021/ja809598r", "ISSN" : "0002-7863", "PMID" : "19366264", "abstract" : "Two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 "author" : [ { "dropping-particle" : "", "family" : "Kojima", "given" : "Akihiro", "non-dropping-particle" : "", "parse-names" : false, "suffix" : "" }, { "dropping-particle" : "", "family" : "Teshima", "given" : "Kenjiro", "non-dropping-particle" : "", "parse-names" : false, "suffix" : "" }, { "dropping-particle" : "", "family" : "Shirai", "given" : "Yasuo", "non-dropping-particle" : "", "parse-names" : false, "suffix" : "" }, { "dropping-particle" : "", "family" : "Miyasaka", "given" : "Tsutomu", "non-dropping-particle" : "", "parse-names" : false, "suffix" : "" } ], "container-title" : "Journal of the American Chemical Society", "id" : "ITEM-1", "issue" : "17", "issued" : { "date-parts" : [ [ "2009", "5", "6" ] ] }, "page" : "6050-6051", "title" : "Organometal Halide Perovskites as Visible-Light Sensitizers for Photovoltaic Cells", "type" : "article-journal", "volume" : "131" }, "uris" : [ "http://www.mendeley.com/documents/?uuid=cbfa7118-596c-48aa-8fc8-9fca4521bda3" ] } ], "mendeley" : { "formattedCitation" : "&lt;sup&gt;1&lt;/sup&gt;", "plainTextFormattedCitation" : "1", "previouslyFormattedCitation" : "&lt;sup&gt;1&lt;/sup&gt;" }, "properties" : {  }, "schema" : "https://github.com/citation-style-language/schema/raw/master/csl-citation.json" }</w:instrText>
      </w:r>
      <w:r w:rsidR="0099656C" w:rsidRPr="001B5503">
        <w:fldChar w:fldCharType="separate"/>
      </w:r>
      <w:r w:rsidR="009E3660" w:rsidRPr="001B5503">
        <w:rPr>
          <w:noProof/>
          <w:vertAlign w:val="superscript"/>
        </w:rPr>
        <w:t>1</w:t>
      </w:r>
      <w:r w:rsidR="0099656C" w:rsidRPr="001B5503">
        <w:fldChar w:fldCharType="end"/>
      </w:r>
      <w:r w:rsidR="00E048CE" w:rsidRPr="001B5503">
        <w:t xml:space="preserve"> and constitute a promising technology to collect energy from sun in the near future</w:t>
      </w:r>
      <w:r w:rsidRPr="001B5503">
        <w:t xml:space="preserve">. </w:t>
      </w:r>
      <w:r w:rsidR="00F27DA9" w:rsidRPr="001B5503">
        <w:t>Fundamental reasons</w:t>
      </w:r>
      <w:r w:rsidRPr="001B5503">
        <w:t xml:space="preserve"> of such </w:t>
      </w:r>
      <w:r w:rsidR="00F27DA9" w:rsidRPr="001B5503">
        <w:t>success</w:t>
      </w:r>
      <w:r w:rsidRPr="001B5503">
        <w:t xml:space="preserve"> are </w:t>
      </w:r>
      <w:r w:rsidR="00F27DA9" w:rsidRPr="001B5503">
        <w:t xml:space="preserve">an easy and cheap deposition of perovskite combined with efficiencies </w:t>
      </w:r>
      <w:r w:rsidR="00C31C3B" w:rsidRPr="001B5503">
        <w:t xml:space="preserve">(PCE) </w:t>
      </w:r>
      <w:r w:rsidR="00F27DA9" w:rsidRPr="001B5503">
        <w:t xml:space="preserve">comparable to </w:t>
      </w:r>
      <w:r w:rsidR="0019364A" w:rsidRPr="001B5503">
        <w:t>those</w:t>
      </w:r>
      <w:r w:rsidR="00F27DA9" w:rsidRPr="001B5503">
        <w:t xml:space="preserve"> of the most expensive monocrystalline silicon solar cells</w:t>
      </w:r>
      <w:r w:rsidR="00EE7282" w:rsidRPr="001B5503">
        <w:t>.</w:t>
      </w:r>
      <w:r w:rsidR="0099656C" w:rsidRPr="001B5503">
        <w:fldChar w:fldCharType="begin" w:fldLock="1"/>
      </w:r>
      <w:r w:rsidR="0020768A" w:rsidRPr="001B5503">
        <w:instrText>ADDIN CSL_CITATION { "citationItems" : [ { "id" : "ITEM-1", "itemData" : { "DOI" : "10.1021/jz4020162", "ISSN" : "1948-7185", "abstract" : "Over the last 12 months, we have witnessed an unexpected breakthrough and rapid evolution in the field of emerging photovoltaics, with the realization of highly efficient solid-state hybrid solar cells based on organometal trihalide perovskite absorbers. In this Perspective, the steps that have led to this discovery are discussed, and the future of this rapidly advancing concept have been considered. It is likely that the next few years of solar research will advance this technology to the very highest efficiencies while retaining the very lowest cost and embodied energy. Provided that the stability of the perovskite-based technology can be proven, we will witness the emergence of a contender for ultimately low-cost solar power. \u00a9 2013 American Chemical Society.", "author" : [ { "dropping-particle" : "", "family" : "Snaith", "given" : "Henry J.", "non-dropping-particle" : "", "parse-names" : false, "suffix" : "" } ], "container-title" : "The Journal of Physical Chemistry Letters", "id" : "ITEM-1", "issue" : "21", "issued" : { "date-parts" : [ [ "2013", "11", "7" ] ] }, "note" : "Se describen las diferentes estructuras de las c\u00e9lulas solares de perovskita y su evoluci\u00f3n. Se enumeran las ventajas de las c\u00e9lulas solares de Perovskita y su supuesto alcance.", "page" : "3623-3630", "title" : "Perovskites: The Emergence of a New Era for Low-Cost, High-Efficiency Solar Cells", "type" : "article-journal", "volume" : "4" }, "uris" : [ "http://www.mendeley.com/documents/?uuid=f23fa2d2-1fc2-4a56-b848-c3ba4eac1412" ] } ], "mendeley" : { "formattedCitation" : "&lt;sup&gt;2&lt;/sup&gt;", "plainTextFormattedCitation" : "2", "previouslyFormattedCitation" : "&lt;sup&gt;2&lt;/sup&gt;" }, "properties" : {  }, "schema" : "https://github.com/citation-style-language/schema/raw/master/csl-citation.json" }</w:instrText>
      </w:r>
      <w:r w:rsidR="0099656C" w:rsidRPr="001B5503">
        <w:fldChar w:fldCharType="separate"/>
      </w:r>
      <w:r w:rsidR="009E3660" w:rsidRPr="001B5503">
        <w:rPr>
          <w:noProof/>
          <w:vertAlign w:val="superscript"/>
        </w:rPr>
        <w:t>2</w:t>
      </w:r>
      <w:r w:rsidR="0099656C" w:rsidRPr="001B5503">
        <w:fldChar w:fldCharType="end"/>
      </w:r>
      <w:r w:rsidR="00343A6E">
        <w:t xml:space="preserve"> </w:t>
      </w:r>
      <w:r w:rsidR="002F4EB0" w:rsidRPr="001B5503">
        <w:t>For now, perovskite compositions</w:t>
      </w:r>
      <w:r w:rsidR="00AB396F" w:rsidRPr="001B5503">
        <w:t>, solvents and</w:t>
      </w:r>
      <w:r w:rsidR="00594635">
        <w:t xml:space="preserve"> </w:t>
      </w:r>
      <w:r w:rsidR="00AB396F" w:rsidRPr="001B5503">
        <w:t xml:space="preserve">deposition </w:t>
      </w:r>
      <w:r w:rsidR="002F4EB0" w:rsidRPr="001B5503">
        <w:t>proces</w:t>
      </w:r>
      <w:r w:rsidR="00AB396F" w:rsidRPr="001B5503">
        <w:t>ses</w:t>
      </w:r>
      <w:r w:rsidR="00594635">
        <w:t xml:space="preserve"> </w:t>
      </w:r>
      <w:r w:rsidR="00AE34E3" w:rsidRPr="001B5503">
        <w:t>are under optimisation</w:t>
      </w:r>
      <w:r w:rsidR="009E3660" w:rsidRPr="001B5503">
        <w:t>.</w:t>
      </w:r>
      <w:r w:rsidR="0099656C" w:rsidRPr="001B5503">
        <w:fldChar w:fldCharType="begin" w:fldLock="1"/>
      </w:r>
      <w:r w:rsidR="00230D77">
        <w:instrText>ADDIN CSL_CITATION { "citationItems" : [ { "id" : "ITEM-1", "itemData" : { "DOI" : "10.1126/science.aan2301", "ISSN" : "0036-8075",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"dropping-particle" : "", "family" : "Kim", "given" : "Young Chan", "non-dropping-particle" : "", "parse-names" : false, "suffix" : "" }, { "dropping-particle" : "", "family" : "Lee", "given" : "Dong Uk", "non-dropping-particle" : "", "parse-names" : false, "suffix" : "" }, { "dropping-particle" : "", "family" : "Shin", "given" : "Seong Sik", "non-dropping-particle" : "", "parse-names" : false, "suffix" : "" }, { "dropping-particle" : "", "family" : "Seo", "given" : "Jangwon", "non-dropping-particle" : "", "parse-names" : false, "suffix" : "" }, { "dropping-particle" : "", "family" : "Kim", "given" : "Eun Kyu", "non-dropping-particle" : "", "parse-names" : false, "suffix" : "" }, { "dropping-particle" : "", "family" : "Noh", "given" : "Jun Hong", "non-dropping-particle" : "", "parse-names" : false, "suffix" : "" }, { "dropping-particle" : "Il", "family" : "Seok", "given" : "Sang", "non-dropping-particle" : "", "parse-names" : false, "suffix" : "" } ], "container-title" : "Science", "id" : "ITEM-1", "issue" : "6345", "issued" : { "date-parts" : [ [ "2017", "6", "30" ] ] }, "page" : "1376-1379", "title" : "Iodide management in formamidinium-lead-halide\u2013based perovskite layers for efficient solar cells", "type" : "article-journal", "volume" : "356" }, "uris" : [ "http://www.mendeley.com/documents/?uuid=a021280d-c7f0-4718-9c60-ad168c9ff07a" ] }, { "id" : "ITEM-2",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"ITEM-2",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"id" : "ITEM-3", "itemData" : { "DOI" : "10.1038/nature14133",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"ITEM-3", "issue" : "7535", "issued" : { "date-parts" : [ [ "2015", "1", "7" ] ] }, "page" : "476-480", "publisher" : "Nature Publishing Group", "title" : "Compositional engineering of perovskite materials for high-performance solar cells", "type" : "article-journal", "volume" : "517" }, "uris" : [ "http://www.mendeley.com/documents/?uuid=53b3926a-b49d-4d5f-8442-5a5d8dae5741" ] } ], "mendeley" : { "formattedCitation" : "&lt;sup&gt;3\u20135&lt;/sup&gt;", "plainTextFormattedCitation" : "3\u20135", "previouslyFormattedCitation" : "&lt;sup&gt;3\u20135&lt;/sup&gt;" }, "properties" : {  }, "schema" : "https://github.com/citation-style-language/schema/raw/master/csl-citation.json" }</w:instrText>
      </w:r>
      <w:r w:rsidR="0099656C" w:rsidRPr="001B5503">
        <w:fldChar w:fldCharType="separate"/>
      </w:r>
      <w:r w:rsidR="009E3660" w:rsidRPr="001B5503">
        <w:rPr>
          <w:noProof/>
          <w:vertAlign w:val="superscript"/>
        </w:rPr>
        <w:t>3–5</w:t>
      </w:r>
      <w:r w:rsidR="0099656C" w:rsidRPr="001B5503">
        <w:fldChar w:fldCharType="end"/>
      </w:r>
      <w:r w:rsidR="007B0AC6" w:rsidRPr="001B5503">
        <w:t xml:space="preserve"> However, in order to produce them at a large scale</w:t>
      </w:r>
      <w:r w:rsidR="00E048CE" w:rsidRPr="001B5503">
        <w:t>,</w:t>
      </w:r>
      <w:r w:rsidR="00594635">
        <w:t xml:space="preserve"> </w:t>
      </w:r>
      <w:r w:rsidR="00E048CE" w:rsidRPr="001B5503">
        <w:t xml:space="preserve">stability </w:t>
      </w:r>
      <w:r w:rsidR="00E91F87" w:rsidRPr="001B5503">
        <w:t xml:space="preserve">and reproducibility </w:t>
      </w:r>
      <w:r w:rsidR="00E048CE" w:rsidRPr="001B5503">
        <w:t xml:space="preserve">issues must be </w:t>
      </w:r>
      <w:r w:rsidR="0020740C" w:rsidRPr="001B5503">
        <w:t>overcome</w:t>
      </w:r>
      <w:r w:rsidR="009E3660" w:rsidRPr="001B5503">
        <w:t>.</w:t>
      </w:r>
      <w:r w:rsidR="0099656C" w:rsidRPr="001B5503">
        <w:fldChar w:fldCharType="begin" w:fldLock="1"/>
      </w:r>
      <w:r w:rsidR="0020768A" w:rsidRPr="001B5503">
        <w:instrText>ADDIN CSL_CITATION { "citationItems" : [ { "id" : "ITEM-1", "itemData" : { "DOI" : "10.1002/aenm.201500963", "ISSN" : "16146832", "abstract" : "In recent years, there has been an unprecedented rise in the performance of metal halide perovskite solar cells. They are now in a position to compete on performance with traditional crystalline solar cells, and as such the most pressing questions concern the long term operational stability of this class of solar cell. Here, recent developments in understanding and overcoming stability concerns of metal halide perovskite solar cells are highlighted. An overview of possible instability issues due to electrical, atmospheric, heat, and light stresses is provided and the different implications to the most commonly used device architectures are discussed.", "author" : [ { "dropping-particle" : "", "family" : "Leijtens", "given" : "Tomas", "non-dropping-particle" : "", "parse-names" : false, "suffix" : "" }, { "dropping-particle" : "", "family" : "Eperon", "given" : "Giles E.", "non-dropping-particle" : "", "parse-names" : false, "suffix" : "" }, { "dropping-particle" : "", "family" : "Noel", "given" : "Nakita K.", "non-dropping-particle" : "", "parse-names" : false, "suffix" : "" }, { "dropping-particle" : "", "family" : "Habisreutinger", "given" : "Severin N.", "non-dropping-particle" : "", "parse-names" : false, "suffix" : "" }, { "dropping-particle" : "", "family" : "Petrozza", "given" : "Annamaria", "non-dropping-particle" : "", "parse-names" : false, "suffix" : "" }, { "dropping-particle" : "", "family" : "Snaith", "given" : "Henry J.", "non-dropping-particle" : "", "parse-names" : false, "suffix" : "" } ], "container-title" : "Advanced Energy Materials", "id" : "ITEM-1", "issue" : "20", "issued" : { "date-parts" : [ [ "2015", "10", "28" ] ] }, "language" : "en", "page" : "1500963", "title" : "Stability of Metal Halide Perovskite Solar Cells", "type" : "article-journal", "volume" : "5" }, "uris" : [ "http://www.mendeley.com/documents/?uuid=a764b809-428e-4a8e-91db-8cb9acc858fb" ] }, { "id" : "ITEM-2", "itemData" : { "DOI" : "10.1038/nenergy.2016.152", "ISSN" : "2058-7546", "abstract" : "Solar cells employing a halide perovskite with an organic cation now show power conversion efficiency of up to 22%. However, these cells are facing issues towards commercialization, such as the need to achieve long-term stability and the development of a manufacturing method for the reproducible fabrication of high-performance devices. Here, we propose a strategy to obtain stable and commercially viable perovskite solar cells. A reproducible manufacturing method is suggested, as well as routes to manage grain boundaries and interfacial charge transport. Electroluminescence is regarded as a metric to gauge theoretical efficiency. We highlight how optimizing the design of device architectures is important not only for achieving high efficiency but also for hysteresis-free and stable performance. We argue that reliable device characterization is needed to ensure the advance of this technology towards practical applications. We believe that perovskite-based devices can be competitive with silicon solar modules, and discuss issues related to the safe management of toxic material.", "author" : [ { "dropping-particle" : "", "family" : "Park", "given" : "Nam-Gyu", "non-dropping-particle" : "", "parse-names" : false, "suffix" : "" }, { "dropping-particle" : "", "family" : "Gr\u00e4tzel", "given" : "Michael", "non-dropping-particle" : "", "parse-names" : false, "suffix" : "" }, { "dropping-particle" : "", "family" : "Miyasaka", "given" : "Tsutomu", "non-dropping-particle" : "", "parse-names" : false, "suffix" : "" }, { "dropping-particle" : "", "family" : "Zhu", "given" : "Kai", "non-dropping-particle" : "", "parse-names" : false, "suffix" : "" }, { "dropping-particle" : "", "family" : "Emery", "given" : "Keith", "non-dropping-particle" : "", "parse-names" : false, "suffix" : "" } ], "container-title" : "Nature Energy", "id" : "ITEM-2", "issue" : "11", "issued" : { "date-parts" : [ [ "2016", "10", "17" ] ] }, "page" : "16152", "publisher" : "Macmillan Publishers Limited", "title" : "Towards stable and commercially available perovskite solar cells", "type" : "article-journal", "volume" : "1" }, "uris" : [ "http://www.mendeley.com/documents/?uuid=564cffe8-379b-48f3-9519-3ddc7e6bd7ed" ] }, { "id" : "ITEM-3", "itemData" : { "DOI" : "10.1038/ncomms15684", "ISSN" : "2041-1723", "abstract" : "Despite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\u00d7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 "author" : [ { "dropping-particle" : "", "family" : "Grancini", "given" : "G", "non-dropping-particle" : "", "parse-names" : false, "suffix" : "" }, { "dropping-particle" : "", "family" : "Rold\u00e1n-Carmona", "given" : "C", "non-dropping-particle" : "", "parse-names" : false, "suffix" : "" }, { "dropping-particle" : "", "family" : "Zimmermann", "given" : "I", "non-dropping-particle" : "", "parse-names" : false, "suffix" : "" }, { "dropping-particle" : "", "family" : "Mosconi", "given" : "E", "non-dropping-particle" : "", "parse-names" : false, "suffix" : "" }, { "dropping-particle" : "", "family" : "Lee", "given" : "X", "non-dropping-particle" : "", "parse-names" : false, "suffix" : "" }, { "dropping-particle" : "", "family" : "Martineau", "given" : "D", "non-dropping-particle" : "", "parse-names" : false, "suffix" : "" }, { "dropping-particle" : "", "family" : "Narbey", "given" : "S", "non-dropping-particle" : "", "parse-names" : false, "suffix" : "" }, { "dropping-particle" : "", "family" : "Oswald", "given" : "F", "non-dropping-particle" : "", "parse-names" : false, "suffix" : "" }, { "dropping-particle" : "", "family" : "Angelis", "given" : "F", "non-dropping-particle" : "De", "parse-names" : false, "suffix" : "" }, { "dropping-particle" : "", "family" : "Graetzel", "given" : "M", "non-dropping-particle" : "", "parse-names" : false, "suffix" : "" }, { "dropping-particle" : "", "family" : "Nazeeruddin", "given" : "Mohammad Khaja", "non-dropping-particle" : "", "parse-names" : false, "suffix" : "" } ], "container-title" : "Nature Communications", "id" : "ITEM-3", "issued" : { "date-parts" : [ [ "2017", "6", "1" ] ] }, "page" : "15684", "publisher" : "The Author(s)", "title" : "One-Year stable perovskite solar cells by 2D/3D interface engineering", "type" : "article-journal", "volume" : "8" }, "uris" : [ "http://www.mendeley.com/documents/?uuid=f95e8f08-876b-48ca-a923-6660614ac1fb" ] }, { "id" : "ITEM-4", "itemData" : { "DOI" : "10.1038/s41560-017-0067-y", "ISSN" : "2058-7546", "abstract" : "Long-term device stability is the most pressing issue that impedes perovskite solar cell commercialization, given the achieved 22.7% efficiency. The perovskite absorber material itself has been heavily scrutinized for being prone to degradation by water, oxygen and ultraviolet light. To date, most reports characterize device stability in the absence of these extrinsic factors. Here we show that, even under the combined stresses of light (including ultraviolet light), oxygen and moisture, perovskite solar cells can retain 94% of peak efficiency despite 1,000 hours of continuous unencapsulated operation in ambient air conditions (relative humidity of 10\u201320%). Each interface and contact layer throughout the device stack plays an important role in the overall stability which, when appropriately modified, yields devices in which both the initial rapid decay (often termed burn-in) and the gradual slower decay are suppressed. This extensively modified device architecture and the understanding developed will lead towards durable long-term device performance.", "author" : [ { "dropping-particle" : "", "family" : "Christians", "given" : "Jeffrey A", "non-dropping-particle" : "", "parse-names" : false, "suffix" : "" }, { "dropping-particle" : "", "family" : "Schulz", "given" : "Philip", "non-dropping-particle" : "", "parse-names" : false, "suffix" : "" }, { "dropping-particle" : "", "family" : "Tinkham", "given" : "Jonathan S", "non-dropping-particle" : "", "parse-names" : false, "suffix" : "" }, { "dropping-particle" : "", "family" : "Schloemer", "given" : "Tracy H", "non-dropping-particle" : "", "parse-names" : false, "suffix" : "" }, { "dropping-particle" : "", "family" : "Harvey", "given" : "Steven P", "non-dropping-particle" : "", "parse-names" : false, "suffix" : "" }, { "dropping-particle" : "", "family" : "Tremolet de Villers", "given" : "Bertrand J", "non-dropping-particle" : "", "parse-names" : false, "suffix" : "" }, { "dropping-particle" : "", "family" : "Sellinger", "given" : "Alan", "non-dropping-particle" : "", "parse-names" : false, "suffix" : "" }, { "dropping-particle" : "", "family" : "Berry", "given" : "Joseph J", "non-dropping-particle" : "", "parse-names" : false, "suffix" : "" }, { "dropping-particle" : "", "family" : "Luther", "given" : "Joseph M", "non-dropping-particle" : "", "parse-names" : false, "suffix" : "" } ], "container-title" : "Nature Energy", "id" : "ITEM-4", "issue" : "1", "issued" : { "date-parts" : [ [ "2018", "1", "9" ] ] }, "page" : "68-74", "title" : "Tailored interfaces of unencapsulated perovskite solar cells for &amp;gt;1,000 hour operational stability", "type" : "article-journal", "volume" : "3" }, "uris" : [ "http://www.mendeley.com/documents/?uuid=68ad2c0a-30b9-4dad-9f99-07278d16db55" ] } ], "mendeley" : { "formattedCitation" : "&lt;sup&gt;6\u20139&lt;/sup&gt;", "plainTextFormattedCitation" : "6\u20139", "previouslyFormattedCitation" : "&lt;sup&gt;6\u20139&lt;/sup&gt;" }, "properties" : {  }, "schema" : "https://github.com/citation-style-language/schema/raw/master/csl-citation.json" }</w:instrText>
      </w:r>
      <w:r w:rsidR="0099656C" w:rsidRPr="001B5503">
        <w:fldChar w:fldCharType="separate"/>
      </w:r>
      <w:r w:rsidR="009E3660" w:rsidRPr="001B5503">
        <w:rPr>
          <w:noProof/>
          <w:vertAlign w:val="superscript"/>
        </w:rPr>
        <w:t>6–9</w:t>
      </w:r>
      <w:r w:rsidR="0099656C" w:rsidRPr="001B5503">
        <w:fldChar w:fldCharType="end"/>
      </w:r>
    </w:p>
    <w:p w14:paraId="318D53D3" w14:textId="77777777" w:rsidR="009960F2" w:rsidRPr="001B5503" w:rsidRDefault="001412CC" w:rsidP="00D93CB6">
      <w:r w:rsidRPr="001B5503">
        <w:t>Thus far, much research</w:t>
      </w:r>
      <w:r w:rsidR="004A64DF" w:rsidRPr="001B5503">
        <w:t xml:space="preserve"> on PSCs</w:t>
      </w:r>
      <w:r w:rsidRPr="001B5503">
        <w:t xml:space="preserve"> has been </w:t>
      </w:r>
      <w:r w:rsidR="0035375C" w:rsidRPr="001B5503">
        <w:t>oriented towards</w:t>
      </w:r>
      <w:r w:rsidR="00683DEE">
        <w:t xml:space="preserve"> </w:t>
      </w:r>
      <w:r w:rsidR="004A64DF" w:rsidRPr="001B5503">
        <w:t>compositional engineering</w:t>
      </w:r>
      <w:r w:rsidR="00EE7282" w:rsidRPr="001B5503">
        <w:t>.</w:t>
      </w:r>
      <w:r w:rsidR="0099656C" w:rsidRPr="001B5503">
        <w:fldChar w:fldCharType="begin" w:fldLock="1"/>
      </w:r>
      <w:r w:rsidR="00230D77">
        <w:instrText>ADDIN CSL_CITATION { "citationItems" : [ { "id" : "ITEM-1", "itemData" : { "ISSN" : "18756786", "abstract" : "The current article reviews recent development of perovskite solar cell, highlighting operating principles, perovskite absorber, hole-transport contact, electron-selective contact and counter electrode. The existing problems of perovskite solar cells will be discussed according to the current research result, meanwhile the advances of it are also briefly summarized.", "author" : [ { "dropping-particle" : "", "family" : "Zhang", "given" : "Fei", "non-dropping-particle" : "", "parse-names" : false, "suffix" : "" }, { "dropping-particle" : "", "family" : "Wang", "given" : "Shirong", "non-dropping-particle" : "", "parse-names" : false, "suffix" : "" }, { "dropping-particle" : "", "family" : "Li", "given" : "Xianggao", "non-dropping-particle" : "", "parse-names" : false, "suffix" : "" }, { "dropping-particle" : "", "family" : "Xiao", "given" : "Yin", "non-dropping-particle" : "", "parse-names" : false, "suffix" : "" } ], "container-title" : "Current Nanoscience", "id" : "ITEM-1", "issue" : "2", "issued" : { "date-parts" : [ [ "2016" ] ] }, "note" : "Article situat en: Y:\\Proyectos_2014\\Perovskita\\Reviews", "page" : "137-156", "publisher" : "Bentham Science Publishers B.V.", "title" : "Recent progress of perovskite solar cells", "type" : "article-journal", "volume" : "12" }, "uris" : [ "http://www.mendeley.com/documents/?uuid=2c7b36db-a6be-49fa-8c56-0d88f0d92c75" ] }, { "id" : "ITEM-2", "itemData" : { "DOI" : "10.1126/science.aan2301", "ISSN" : "0036-8075",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"dropping-particle" : "", "family" : "Kim", "given" : "Young Chan", "non-dropping-particle" : "", "parse-names" : false, "suffix" : "" }, { "dropping-particle" : "", "family" : "Lee", "given" : "Dong Uk", "non-dropping-particle" : "", "parse-names" : false, "suffix" : "" }, { "dropping-particle" : "", "family" : "Shin", "given" : "Seong Sik", "non-dropping-particle" : "", "parse-names" : false, "suffix" : "" }, { "dropping-particle" : "", "family" : "Seo", "given" : "Jangwon", "non-dropping-particle" : "", "parse-names" : false, "suffix" : "" }, { "dropping-particle" : "", "family" : "Kim", "given" : "Eun Kyu", "non-dropping-particle" : "", "parse-names" : false, "suffix" : "" }, { "dropping-particle" : "", "family" : "Noh", "given" : "Jun Hong", "non-dropping-particle" : "", "parse-names" : false, "suffix" : "" }, { "dropping-particle" : "Il", "family" : "Seok", "given" : "Sang", "non-dropping-particle" : "", "parse-names" : false, "suffix" : "" } ], "container-title" : "Science", "id" : "ITEM-2", "issue" : "6345", "issued" : { "date-parts" : [ [ "2017", "6", "30" ] ] }, "page" : "1376-1379", "title" : "Iodide management in formamidinium-lead-halide\u2013based perovskite layers for efficient solar cells", "type" : "article-journal", "volume" : "356" }, "uris" : [ "http://www.mendeley.com/documents/?uuid=a021280d-c7f0-4718-9c60-ad168c9ff07a" ] }, { "id" : "ITEM-3",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"ITEM-3",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"id" : "ITEM-4", "itemData" : { "DOI" : "10.1038/nature14133",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"ITEM-4", "issue" : "7535", "issued" : { "date-parts" : [ [ "2015", "1", "7" ] ] }, "page" : "476-480", "publisher" : "Nature Publishing Group", "title" : "Compositional engineering of perovskite materials for high-performance solar cells", "type" : "article-journal", "volume" : "517" }, "uris" : [ "http://www.mendeley.com/documents/?uuid=53b3926a-b49d-4d5f-8442-5a5d8dae5741" ] } ], "mendeley" : { "formattedCitation" : "&lt;sup&gt;3\u20135,10&lt;/sup&gt;", "plainTextFormattedCitation" : "3\u20135,10", "previouslyFormattedCitation" : "&lt;sup&gt;3\u20135,10&lt;/sup&gt;" }, "properties" : {  }, "schema" : "https://github.com/citation-style-language/schema/raw/master/csl-citation.json" }</w:instrText>
      </w:r>
      <w:r w:rsidR="0099656C" w:rsidRPr="001B5503">
        <w:fldChar w:fldCharType="separate"/>
      </w:r>
      <w:r w:rsidR="009E3660" w:rsidRPr="001B5503">
        <w:rPr>
          <w:noProof/>
          <w:vertAlign w:val="superscript"/>
        </w:rPr>
        <w:t>3–5,10</w:t>
      </w:r>
      <w:r w:rsidR="0099656C" w:rsidRPr="001B5503">
        <w:fldChar w:fldCharType="end"/>
      </w:r>
      <w:r w:rsidR="00683DEE">
        <w:t xml:space="preserve"> </w:t>
      </w:r>
      <w:r w:rsidR="00227988" w:rsidRPr="001B5503">
        <w:t xml:space="preserve">Perovskites </w:t>
      </w:r>
      <w:r w:rsidR="00C4579E" w:rsidRPr="001B5503">
        <w:t xml:space="preserve">with outstanding photovoltaic properties </w:t>
      </w:r>
      <w:r w:rsidR="00227988" w:rsidRPr="001B5503">
        <w:t>have a distinctive structure, composed by three atoms according to the formula ABX</w:t>
      </w:r>
      <w:r w:rsidR="00227988" w:rsidRPr="001B5503">
        <w:rPr>
          <w:vertAlign w:val="subscript"/>
        </w:rPr>
        <w:t>3</w:t>
      </w:r>
      <w:r w:rsidR="00AE672C" w:rsidRPr="001B5503">
        <w:t xml:space="preserve">, where A corresponds to </w:t>
      </w:r>
      <w:r w:rsidR="00013B73" w:rsidRPr="001B5503">
        <w:t>a</w:t>
      </w:r>
      <w:r w:rsidR="00683DEE">
        <w:t xml:space="preserve"> </w:t>
      </w:r>
      <w:r w:rsidR="00013B73" w:rsidRPr="001B5503">
        <w:t xml:space="preserve">monovalent </w:t>
      </w:r>
      <w:r w:rsidR="00AE672C" w:rsidRPr="001B5503">
        <w:t>organic</w:t>
      </w:r>
      <w:r w:rsidR="00C4579E" w:rsidRPr="001B5503">
        <w:t>/inorganic</w:t>
      </w:r>
      <w:r w:rsidR="00AE672C" w:rsidRPr="001B5503">
        <w:t xml:space="preserve"> cation, B corresponds to </w:t>
      </w:r>
      <w:r w:rsidR="00013B73" w:rsidRPr="001B5503">
        <w:t>a</w:t>
      </w:r>
      <w:r w:rsidR="00683DEE">
        <w:t xml:space="preserve"> </w:t>
      </w:r>
      <w:r w:rsidR="00013B73" w:rsidRPr="001B5503">
        <w:t>divalent inorganic cation</w:t>
      </w:r>
      <w:r w:rsidR="0088770F" w:rsidRPr="001B5503">
        <w:t xml:space="preserve"> (commonly Pb)</w:t>
      </w:r>
      <w:r w:rsidR="00013B73" w:rsidRPr="001B5503">
        <w:t xml:space="preserve"> and X corresponds to a halide anion (Cl, Br and I)</w:t>
      </w:r>
      <w:r w:rsidR="00227988" w:rsidRPr="001B5503">
        <w:t xml:space="preserve">. </w:t>
      </w:r>
      <w:r w:rsidR="00810894" w:rsidRPr="001B5503">
        <w:t xml:space="preserve">As for the </w:t>
      </w:r>
      <w:r w:rsidR="009114E8" w:rsidRPr="001B5503">
        <w:t xml:space="preserve">monovalent </w:t>
      </w:r>
      <w:r w:rsidR="00810894" w:rsidRPr="001B5503">
        <w:t>cationic position (A)</w:t>
      </w:r>
      <w:r w:rsidR="00E036FB" w:rsidRPr="001B5503">
        <w:t>,</w:t>
      </w:r>
      <w:r w:rsidR="00B31B13" w:rsidRPr="001B5503">
        <w:t xml:space="preserve"> the most efficient perovskite compositions introduce formamidinium (FA) cation along with the traditional methylammonium (MA) cation </w:t>
      </w:r>
      <w:r w:rsidR="00B0222C" w:rsidRPr="001B5503">
        <w:t>and also Br partially substitutes I anion</w:t>
      </w:r>
      <w:r w:rsidR="0099656C" w:rsidRPr="001B5503">
        <w:fldChar w:fldCharType="begin" w:fldLock="1"/>
      </w:r>
      <w:r w:rsidR="0020768A" w:rsidRPr="001B5503">
        <w:instrText>ADDIN CSL_CITATION { "citationItems" : [ { "id" : "ITEM-1", "itemData" : { "DOI" : "10.1038/nature14133",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"ITEM-1", "issue" : "7535", "issued" : { "date-parts" : [ [ "2015", "1", "7" ] ] }, "page" : "476-480", "publisher" : "Nature Publishing Group", "title" : "Compositional engineering of perovskite materials for high-performance solar cells", "type" : "article-journal", "volume" : "517" }, "uris" : [ "http://www.mendeley.com/documents/?uuid=53b3926a-b49d-4d5f-8442-5a5d8dae5741" ] }, { "id" : "ITEM-2", "itemData" : { "DOI" : "10.1002/adma.201401137", "ISBN" : "0935-9648", "ISSN" : "15214095", "PMID" : "24923708", "abstract" : "Perovskite solar cells with power conversion efficiency exceeding 16% at AM 1.5G one sun illumination are developed using the black polymorph of formamidnium lead iodide, HC(NH2 )2 PbI3 . Compared with CH3 NH3 PbI3 , HC(NH2 )2 PbI3 extends its absoprtion to 840 nm and shows no phase transition between 296 and 423 K. Moreover, a solar cell based on HC(NH2 )2 PbI3 exhibits photostability and little I-V hysteresis.", "author" : [ { "dropping-particle" : "", "family" : "Lee", "given" : "Jin Wook", "non-dropping-particle" : "", "parse-names" : false, "suffix" : "" }, { "dropping-particle" : "", "family" : "Seol", "given" : "Dong Jin", "non-dropping-particle" : "", "parse-names" : false, "suffix" : "" }, { "dropping-particle" : "", "family" : "Cho", "given" : "An Na", "non-dropping-particle" : "", "parse-names" : false, "suffix" : "" }, { "dropping-particle" : "", "family" : "Park", "given" : "Nam Gyu", "non-dropping-particle" : "", "parse-names" : false, "suffix" : "" } ], "container-title" : "Advanced Materials", "id" : "ITEM-2", "issue" : "29", "issued" : { "date-parts" : [ [ "2014" ] ] }, "page" : "4991-4998", "title" : "High-efficiency perovskite solar cells based on the black polymorph of HC(NH2)2PbI3", "type" : "article-journal", "volume" : "26" }, "uris" : [ "http://www.mendeley.com/documents/?uuid=1d07e551-c4cd-32aa-815b-3178483c6ebb" ] }, { "id" : "ITEM-3", "itemData" : { "DOI" : "10.1021/nl400349b", "ISSN" : "1530-6984", "PMID" : "23517331", "abstract" : "Chemically tuned inorganic-organic hybrid materials, based on CH3NH3(\u2550MA)Pb(I(1-x)Br(x))3 perovskites, have been studied using UV-vis absorption and X-ray diffraction patterns and applied to nanostructured solar cells. The band gap engineering brought about by the chemical management of MAPb(I(1-x)Br(x))3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TiO2 film and a hole conducting polymer. We believe that the works highlighted in this paper represent one step toward the realization of low-cost, high-efficiency, and long-term stability with colorful solar cells.", "author" : [ { "dropping-particle" : "", "family" : "Noh", "given" : "Jun Hong", "non-dropping-particle" : "", "parse-names" : false, "suffix" : "" }, { "dropping-particle" : "", "family" : "Im", "given" : "Sang Hyuk", "non-dropping-particle" : "", "parse-names" : false, "suffix" : "" }, { "dropping-particle" : "", "family" : "Heo", "given" : "Jin Hyuck", "non-dropping-particle" : "", "parse-names" : false, "suffix" : "" }, { "dropping-particle" : "", "family" : "Mandal", "given" : "Tarak N", "non-dropping-particle" : "", "parse-names" : false, "suffix" : "" }, { "dropping-particle" : "Il", "family" : "Seok", "given" : "Sang", "non-dropping-particle" : "", "parse-names" : false, "suffix" : "" } ], "container-title" : "Nano Letters", "id" : "ITEM-3", "issue" : "4", "issued" : { "date-parts" : [ [ "2013", "4", "10" ] ] }, "page" : "1764-1769", "title" : "Chemical Management for Colorful, Efficient, and Stable Inorganic\u2013Organic Hybrid Nanostructured Solar Cells", "type" : "article-journal", "volume" : "13" }, "uris" : [ "http://www.mendeley.com/documents/?uuid=b80db87e-ebec-41e1-87ff-e3307c3ffd13" ] }, { "id" : "ITEM-4", "itemData" : { "DOI" : "10.1002/anie.201309361", "ISBN" : "1433-7851", "ISSN" : "15213773", "PMID" : "24554633", "abstract" : "Hybrid organic-inorganic lead halide perovskite APbX3 pigments, such as methylammonium lead iodide, have recently emerged as excellent light harvesters in solid-state mesoscopic solar cells. An important target for the further improvement of the performance of perovskite-based photovoltaics is to extend their optical-absorption onset further into the red to enhance solar-light harvesting. Herein, we show that this goal can be reached by using a mixture of formamidinium (HN=CHNH3 (+), FA) and methylammonium (CH3 NH3 (+), MA) cations in the A position of the APbI3 perovskite structure. This combination leads to an enhanced short-circuit current and thus superior devices to those based on only CH3 NH3 (+). This concept has not been applied previously in perovskite-based solar cells. It shows great potential as a versatile tool to tune the structural, electrical, and optoelectronic properties of the light-harvesting materials.", "author" : [ { "dropping-particle" : "", "family" : "Pellet", "given" : "Norman", "non-dropping-particle" : "", "parse-names" : false, "suffix" : "" }, { "dropping-particle" : "", "family" : "Gao", "given" : "Peng", "non-dropping-particle" : "", "parse-names" : false, "suffix" : "" }, { "dropping-particle" : "", "family" : "Gregori", "given" : "Giuliano", "non-dropping-particle" : "", "parse-names" : false, "suffix" : "" }, { "dropping-particle" : "", "family" : "Yang", "given" : "Tae Youl", "non-dropping-particle" : "", "parse-names" : false, "suffix" : "" }, { "dropping-particle" : "", "family" : "Nazeeruddin", "given" : "Mohammad K.", "non-dropping-particle" : "", "parse-names" : false, "suffix" : "" }, { "dropping-particle" : "", "family" : "Maier", "given" : "Joachim", "non-dropping-particle" : "", "parse-names" : false, "suffix" : "" }, { "dropping-particle" : "", "family" : "Gr\u00e4tzel", "given" : "Michael", "non-dropping-particle" : "", "parse-names" : false, "suffix" : "" } ], "container-title" : "Angewandte Chemie - International Edition", "id" : "ITEM-4", "issue" : "12", "issued" : { "date-parts" : [ [ "2014" ] ] }, "page" : "3151-3157", "title" : "Mixed-organic-cation perovskite photovoltaics for enhanced solar-light harvesting", "type" : "article-journal", "volume" : "53" }, "uris" : [ "http://www.mendeley.com/documents/?uuid=433a2e1e-bef9-39eb-9819-374329327870" ] }, { "id" : "ITEM-5", "itemData" : { "DOI" : "10.1038/ncomms10379", "ISBN" : "2041-1723 (Electronic)\\r2041-1723 (Linking)", "ISSN" : "2041-1723", "PMID" : "26758549", "abstract" : "Perovskite solar cells are one of the most promising photovoltaic technologies with their extraordinary progress in efficiency and the simple processes required to produce them. However, the frequent presence of a pronounced hysteresis in the current voltage characteristic of these devices arises concerns on the intrinsic stability of organo-metal halides, challenging the reliability of technology itself. Here, we show that n-doping of mesoporous TiO2 is accomplished by facile post treatment of the films with lithium salts.We demonstrate that the Li-doped TiO2 electrodes exhibit superior electronic properties, by reducing electronic trap states enabling faster electron transport. Perovskite solar cells prepared using the Li-doped films as scaffold to host the CH3NH3PbI3 light harvester produce substantially higher performances compared with undoped electrodes, improving the power conversion efficiency from 17 to over 19% with negligible hysteretic behaviour (lower than 0.3%).", "author" : [ { "dropping-particle" : "", "family" : "Giordano", "given" : "Fabrizio", "non-dropping-particle" : "", "parse-names" : false, "suffix" : "" }, { "dropping-particle" : "", "family" : "Abate", "given" : "Antonio", "non-dropping-particle" : "", "parse-names" : false, "suffix" : "" }, { "dropping-particle" : "", "family" : "Correa Baena", "given" : "Juan Pablo", "non-dropping-particle" : "", "parse-names" : false, "suffix" : "" }, { "dropping-particle" : "", "family" : "Saliba", "given" : "Michael", "non-dropping-particle" : "", "parse-names" : false, "suffix" : "" }, { "dropping-particle" : "", "family" : "Matsui", "given" : "Taisuke", "non-dropping-particle" : "", "parse-names" : false, "suffix" : "" }, { "dropping-particle" : "", "family" : "Im", "given" : "Sang Hyuk", "non-dropping-particle" : "", "parse-names" : false, "suffix" : "" }, { "dropping-particle" : "", "family" : "Zakeeruddin", "given" : "Shaik M", "non-dropping-particle" : "", "parse-names" : false, "suffix" : "" }, { "dropping-particle" : "", "family" : "Nazeeruddin", "given" : "Mohammad Khaja", "non-dropping-particle" : "", "parse-names" : false, "suffix" : "" }, { "dropping-particle" : "", "family" : "Hagfeldt", "given" : "Anders", "non-dropping-particle" : "", "parse-names" : false, "suffix" : "" }, { "dropping-particle" : "", "family" : "Graetzel", "given" : "Michael", "non-dropping-particle" : "", "parse-names" : false, "suffix" : "" } ], "container-title" : "Nature Communications", "id" : "ITEM-5", "issued" : { "date-parts" : [ [ "2016", "1", "13" ] ] }, "page" : "10379", "title" : "Enhanced electronic properties in mesoporous TiO2 via lithium doping for high-efficiency perovskite solar cells", "type" : "article-journal", "volume" : "7" }, "uris" : [ "http://www.mendeley.com/documents/?uuid=a97e1dae-3cb6-38ff-9ecd-d6671f7d4ce9" ] }, { "id" : "ITEM-6",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"ITEM-6",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"mendeley" : { "formattedCitation" : "&lt;sup&gt;4,5,11\u201314&lt;/sup&gt;", "plainTextFormattedCitation" : "4,5,11\u201314", "previouslyFormattedCitation" : "&lt;sup&gt;4,5,11\u201314&lt;/sup&gt;" }, "properties" : {  }, "schema" : "https://github.com/citation-style-language/schema/raw/master/csl-citation.json" }</w:instrText>
      </w:r>
      <w:r w:rsidR="0099656C" w:rsidRPr="001B5503">
        <w:fldChar w:fldCharType="separate"/>
      </w:r>
      <w:r w:rsidR="009E3660" w:rsidRPr="001B5503">
        <w:rPr>
          <w:noProof/>
          <w:vertAlign w:val="superscript"/>
        </w:rPr>
        <w:t>4,5,11–14</w:t>
      </w:r>
      <w:r w:rsidR="0099656C" w:rsidRPr="001B5503">
        <w:fldChar w:fldCharType="end"/>
      </w:r>
      <w:r w:rsidR="00B0222C" w:rsidRPr="001B5503">
        <w:t xml:space="preserve"> with published efficiencies as high as 22.1%</w:t>
      </w:r>
      <w:r w:rsidR="001A3A31" w:rsidRPr="001B5503">
        <w:t>.</w:t>
      </w:r>
      <w:r w:rsidR="0099656C" w:rsidRPr="001B5503">
        <w:fldChar w:fldCharType="begin" w:fldLock="1"/>
      </w:r>
      <w:r w:rsidR="00230D77">
        <w:instrText>ADDIN CSL_CITATION { "citationItems" : [ { "id" : "ITEM-1", "itemData" : { "DOI" : "10.1126/science.aan2301", "ISSN" : "0036-8075",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"dropping-particle" : "", "family" : "Kim", "given" : "Young Chan", "non-dropping-particle" : "", "parse-names" : false, "suffix" : "" }, { "dropping-particle" : "", "family" : "Lee", "given" : "Dong Uk", "non-dropping-particle" : "", "parse-names" : false, "suffix" : "" }, { "dropping-particle" : "", "family" : "Shin", "given" : "Seong Sik", "non-dropping-particle" : "", "parse-names" : false, "suffix" : "" }, { "dropping-particle" : "", "family" : "Seo", "given" : "Jangwon", "non-dropping-particle" : "", "parse-names" : false, "suffix" : "" }, { "dropping-particle" : "", "family" : "Kim", "given" : "Eun Kyu", "non-dropping-particle" : "", "parse-names" : false, "suffix" : "" }, { "dropping-particle" : "", "family" : "Noh", "given" : "Jun Hong", "non-dropping-particle" : "", "parse-names" : false, "suffix" : "" }, { "dropping-particle" : "Il", "family" : "Seok", "given" : "Sang", "non-dropping-particle" : "", "parse-names" : false, "suffix" : "" } ], "container-title" : "Science", "id" : "ITEM-1", "issue" : "6345", "issued" : { "date-parts" : [ [ "2017", "6", "30" ] ] }, "page" : "1376-1379", "title" : "Iodide management in formamidinium-lead-halide\u2013based perovskite layers for efficient solar cells", "type" : "article-journal", "volume" : "356" }, "uris" : [ "http://www.mendeley.com/documents/?uuid=a021280d-c7f0-4718-9c60-ad168c9ff07a" ] } ], "mendeley" : { "formattedCitation" : "&lt;sup&gt;3&lt;/sup&gt;", "plainTextFormattedCitation" : "3", "previouslyFormattedCitation" : "&lt;sup&gt;3&lt;/sup&gt;" }, "properties" : {  }, "schema" : "https://github.com/citation-style-language/schema/raw/master/csl-citation.json" }</w:instrText>
      </w:r>
      <w:r w:rsidR="0099656C" w:rsidRPr="001B5503">
        <w:fldChar w:fldCharType="separate"/>
      </w:r>
      <w:r w:rsidR="009E3660" w:rsidRPr="001B5503">
        <w:rPr>
          <w:noProof/>
          <w:vertAlign w:val="superscript"/>
        </w:rPr>
        <w:t>3</w:t>
      </w:r>
      <w:r w:rsidR="0099656C" w:rsidRPr="001B5503">
        <w:fldChar w:fldCharType="end"/>
      </w:r>
      <w:r w:rsidR="00683DEE">
        <w:t xml:space="preserve"> </w:t>
      </w:r>
      <w:r w:rsidR="00B31B13" w:rsidRPr="001B5503">
        <w:t xml:space="preserve">Recently, a </w:t>
      </w:r>
      <w:r w:rsidR="00B0222C" w:rsidRPr="001B5503">
        <w:t xml:space="preserve">caesium </w:t>
      </w:r>
      <w:r w:rsidR="00B31B13" w:rsidRPr="001B5503">
        <w:t xml:space="preserve">inorganic monovalent cation has shown </w:t>
      </w:r>
      <w:r w:rsidR="00B0222C" w:rsidRPr="001B5503">
        <w:t xml:space="preserve">also </w:t>
      </w:r>
      <w:r w:rsidR="00B31B13" w:rsidRPr="001B5503">
        <w:t>good results when combined with MA and FA in the perovskite structure. Actually, the three cations combined performed an enhanced power conversion efficiency</w:t>
      </w:r>
      <w:r w:rsidR="003602B8" w:rsidRPr="001B5503">
        <w:t xml:space="preserve"> (PCE)</w:t>
      </w:r>
      <w:r w:rsidR="00B31B13" w:rsidRPr="001B5503">
        <w:t xml:space="preserve"> of 21.1%</w:t>
      </w:r>
      <w:r w:rsidR="001A3A31" w:rsidRPr="001B5503">
        <w:t>.</w:t>
      </w:r>
      <w:r w:rsidR="0099656C" w:rsidRPr="001B5503">
        <w:fldChar w:fldCharType="begin" w:fldLock="1"/>
      </w:r>
      <w:r w:rsidR="0020768A" w:rsidRPr="001B5503">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99656C" w:rsidRPr="001B5503">
        <w:fldChar w:fldCharType="separate"/>
      </w:r>
      <w:r w:rsidR="009E3660" w:rsidRPr="001B5503">
        <w:rPr>
          <w:noProof/>
          <w:vertAlign w:val="superscript"/>
        </w:rPr>
        <w:t>15</w:t>
      </w:r>
      <w:r w:rsidR="0099656C" w:rsidRPr="001B5503">
        <w:fldChar w:fldCharType="end"/>
      </w:r>
      <w:r w:rsidR="00B31B13" w:rsidRPr="001B5503">
        <w:t xml:space="preserve"> Not only that, but high reproducibility was achieved and the efficiency after 250 h was found quite stable, performing an efficiency of 18%.</w:t>
      </w:r>
    </w:p>
    <w:p w14:paraId="15D596F4" w14:textId="77777777" w:rsidR="009114E8" w:rsidRPr="001B5503" w:rsidRDefault="009960F2" w:rsidP="00D93CB6">
      <w:r w:rsidRPr="001B5503">
        <w:t>Lately, the so-cal</w:t>
      </w:r>
      <w:r w:rsidR="00AE672C" w:rsidRPr="001B5503">
        <w:t>l</w:t>
      </w:r>
      <w:r w:rsidRPr="001B5503">
        <w:t xml:space="preserve">ed </w:t>
      </w:r>
      <w:r w:rsidR="00DB10E6" w:rsidRPr="001B5503">
        <w:t>anti-solvent</w:t>
      </w:r>
      <w:r w:rsidR="00683DEE">
        <w:t xml:space="preserve"> </w:t>
      </w:r>
      <w:r w:rsidRPr="001B5503">
        <w:t xml:space="preserve">method has been used </w:t>
      </w:r>
      <w:r w:rsidR="004B417C" w:rsidRPr="001B5503">
        <w:t xml:space="preserve">extensively </w:t>
      </w:r>
      <w:r w:rsidRPr="001B5503">
        <w:t xml:space="preserve">to deposit </w:t>
      </w:r>
      <w:r w:rsidR="004B417C" w:rsidRPr="001B5503">
        <w:t xml:space="preserve">high quality </w:t>
      </w:r>
      <w:r w:rsidRPr="001B5503">
        <w:t>perovskite layers</w:t>
      </w:r>
      <w:r w:rsidR="00233B6B" w:rsidRPr="001B5503">
        <w:t>.</w:t>
      </w:r>
      <w:r w:rsidR="0099656C" w:rsidRPr="001B5503">
        <w:fldChar w:fldCharType="begin" w:fldLock="1"/>
      </w:r>
      <w:r w:rsidR="0020768A" w:rsidRPr="001B5503">
        <w:instrText>ADDIN CSL_CITATION { "citationItems" : [ { "id" : "ITEM-1", "itemData" : { "DOI" : "10.1126/science.aad1818", "ISBN" : "9788578110796", "ISSN" : "0036-8075", "PMID" : "25246403", "abstract" : "Organic-inorganic hybrid perovskites are emerging low-cost emitters with very high color purity, but their low luminescent efficiency is a critical drawback. We boosted the current efficiency (CE) of perovskite light-emitting diodes with a simple bilayer structure to 42.9 candela per ampere, similar to the CE of phosphorescent organic light-emitting diodes, with two modifications: We prevented the formation of metallic lead (Pb) atoms that cause strong exciton quenching through a small increase in methylammonium bromide (MABr) molar proportion, and we spatially confined the exciton in uniform MAPbBr3 nanograins (average diameter = 99.7 nanometers) formed by a nanocrystal pinning process and concomitant reduction of exciton diffusion length to 67 nanometers. These changes caused substantial increases in steady-state photoluminescence intensity and efficiency of MAPbBr3 nanograin layers.", "author" : [ { "dropping-particle" : "", "family" : "Cho", "given" : "Himchan", "non-dropping-particle" : "", "parse-names" : false, "suffix" : "" }, { "dropping-particle" : "", "family" : "Jeong", "given" : "Su-Hun", "non-dropping-particle" : "", "parse-names" : false, "suffix" : "" }, { "dropping-particle" : "", "family" : "Park", "given" : "Min-Ho", "non-dropping-particle" : "", "parse-names" : false, "suffix" : "" }, { "dropping-particle" : "", "family" : "Kim", "given" : "Young-Hoon", "non-dropping-particle" : "", "parse-names" : false, "suffix" : "" }, { "dropping-particle" : "", "family" : "Wolf", "given" : "Christoph", "non-dropping-particle" : "", "parse-names" : false, "suffix" : "" }, { "dropping-particle" : "", "family" : "Lee", "given" : "Chang-Lyoul", "non-dropping-particle" : "", "parse-names" : false, "suffix" : "" }, { "dropping-particle" : "", "family" : "Heo", "given" : "Jin Hyuck", "non-dropping-particle" : "", "parse-names" : false, "suffix" : "" }, { "dropping-particle" : "", "family" : "Sadhanala", "given" : "Aditya", "non-dropping-particle" : "", "parse-names" : false, "suffix" : "" }, { "dropping-particle" : "", "family" : "Myoung", "given" : "NoSoung", "non-dropping-particle" : "", "parse-names" : false, "suffix" : "" }, { "dropping-particle" : "", "family" : "Yoo", "given" : "Seunghyup", "non-dropping-particle" : "", "parse-names" : false, "suffix" : "" }, { "dropping-particle" : "", "family" : "Im", "given" : "Sang Hyuk", "non-dropping-particle" : "", "parse-names" : false, "suffix" : "" }, { "dropping-particle" : "", "family" : "Friend", "given" : "Richard H.", "non-dropping-particle" : "", "parse-names" : false, "suffix" : "" }, { "dropping-particle" : "", "family" : "Lee", "given" : "Tae-Woo", "non-dropping-particle" : "", "parse-names" : false, "suffix" : "" } ], "container-title" : "Science", "id" : "ITEM-1", "issue" : "6265", "issued" : { "date-parts" : [ [ "2015" ] ] }, "page" : "1222-1225", "publisher" : "American Association for the Advancement of Science", "title" : "Overcoming the electroluminescence efficiency limitations of perovskite light-emitting diodes", "type" : "article-journal", "volume" : "350" }, "uris" : [ "http://www.mendeley.com/documents/?uuid=2319cbef-9d68-45b8-8508-0ccd185875f7" ] }, { "id" : "ITEM-2", "itemData" : { "DOI" : "10.1126/sciadv.1501170", "ISSN" : "2375-2548", "abstract" : "We report on a new metal halide perovskite photovoltaic cell that exhibits both very high solar-to-electric power-conversion efficiency and intense electroluminescence. We produce the perovskite films in a single step from a solution containing a mixture of FAI, PbI2, MABr, and PbBr2 (where FA stands for formamidinium cations and MA stands for methylammonium cations). Using mesoporous TiO2 and Spiro-OMeTAD as electron- and hole-specific contacts, respectively, we fabricate perovskite solar cells that achieve a maximum power-conversion efficiency of 20.8% for a PbI2/FAI molar ratio of 1.05 in the precursor solution. Rietveld analysis of x-ray diffraction data reveals that the excess PbI2 content incorporated into such a film is about 3 weight percent. Time-resolved photoluminescence decay measurements show that the small excess of PbI2 suppresses nonradiative charge carrier recombination. This in turn augments the external electroluminescence quantum efficiency to values of about 0.5%, a record for perovskite photovoltaics approaching that of the best silicon solar cells. Correspondingly, the open-circuit photovoltage reaches 1.18 V under AM 1.5 sunlight.", "author" : [ { "dropping-particle" : "", "family" : "Bi", "given" : "Dongqin", "non-dropping-particle" : "", "parse-names" : false, "suffix" : "" }, { "dropping-particle" : "", "family" : "Tress", "given" : "Wolfgang", "non-dropping-particle" : "", "parse-names" : false, "suffix" : "" }, { "dropping-particle" : "", "family" : "Dar", "given" : "M Ibrahim", "non-dropping-particle" : "", "parse-names" : false, "suffix" : "" }, { "dropping-particle" : "", "family" : "Gao", "given" : "Peng", "non-dropping-particle" : "", "parse-names" : false, "suffix" : "" }, { "dropping-particle" : "", "family" : "Luo", "given" : "Jingshan", "non-dropping-particle" : "", "parse-names" : false, "suffix" : "" }, { "dropping-particle" : "", "family" : "Renevier", "given" : "Cl\u00e9mentine", "non-dropping-particle" : "", "parse-names" : false, "suffix" : "" }, { "dropping-particle" : "", "family" : "Schenk", "given" : "Kurt", "non-dropping-particle" : "", "parse-names" : false, "suffix" : "" }, { "dropping-particle" : "", "family" : "Abate", "given" : "Antonio", "non-dropping-particle" : "", "parse-names" : false, "suffix" : "" }, { "dropping-particle" : "", "family" : "Giordano", "given" : "Fabrizio", "non-dropping-particle" : "", "parse-names" : false, "suffix" : "" }, { "dropping-particle" : "", "family" : "Correa Baena", "given" : "J.-P.", "non-dropping-particle" : "", "parse-names" : false, "suffix" : "" }, { "dropping-particle" : "", "family" : "Decoppet", "given" : "J.-D.", "non-dropping-particle" : "", "parse-names" : false, "suffix" : "" }, { "dropping-particle" : "", "family" : "Zakeeruddin", "given" : "Shaik Mohammed", "non-dropping-particle" : "", "parse-names" : false, "suffix" : "" }, { "dropping-particle" : "", "family" : "Nazeeruddin", "given" : "Mohammad Khaja", "non-dropping-particle" : "", "parse-names" : false, "suffix" : "" }, { "dropping-particle" : "", "family" : "Gra tzel", "given" : "M.", "non-dropping-particle" : "", "parse-names" : false, "suffix" : "" }, { "dropping-particle" : "", "family" : "Hagfeldt", "given" : "Anders", "non-dropping-particle" : "", "parse-names" : false, "suffix" : "" } ], "container-title" : "Science Advances", "id" : "ITEM-2", "issue" : "1", "issued" : { "date-parts" : [ [ "2016", "1", "1" ] ] }, "page" : "e1501170-e1501170", "publisher" : "American Association for the Advancement of Science", "title" : "Efficient luminescent solar cells based on tailored mixed-cation perovskites", "type" : "article-journal", "volume" : "2" }, "uris" : [ "http://www.mendeley.com/documents/?uuid=84a3e2ea-562c-49b6-a62e-ccb0df845de5" ] }, { "id" : "ITEM-3", "itemData" : { "DOI" : "10.1038/ncomms10379", "ISBN" : "2041-1723 (Electronic)\\r2041-1723 (Linking)", "ISSN" : "2041-1723", "PMID" : "26758549", "abstract" : "Perovskite solar cells are one of the most promising photovoltaic technologies with their extraordinary progress in efficiency and the simple processes required to produce them. However, the frequent presence of a pronounced hysteresis in the current voltage characteristic of these devices arises concerns on the intrinsic stability of organo-metal halides, challenging the reliability of technology itself. Here, we show that n-doping of mesoporous TiO2 is accomplished by facile post treatment of the films with lithium salts.We demonstrate that the Li-doped TiO2 electrodes exhibit superior electronic properties, by reducing electronic trap states enabling faster electron transport. Perovskite solar cells prepared using the Li-doped films as scaffold to host the CH3NH3PbI3 light harvester produce substantially higher performances compared with undoped electrodes, improving the power conversion efficiency from 17 to over 19% with negligible hysteretic behaviour (lower than 0.3%).", "author" : [ { "dropping-particle" : "", "family" : "Giordano", "given" : "Fabrizio", "non-dropping-particle" : "", "parse-names" : false, "suffix" : "" }, { "dropping-particle" : "", "family" : "Abate", "given" : "Antonio", "non-dropping-particle" : "", "parse-names" : false, "suffix" : "" }, { "dropping-particle" : "", "family" : "Correa Baena", "given" : "Juan Pablo", "non-dropping-particle" : "", "parse-names" : false, "suffix" : "" }, { "dropping-particle" : "", "family" : "Saliba", "given" : "Michael", "non-dropping-particle" : "", "parse-names" : false, "suffix" : "" }, { "dropping-particle" : "", "family" : "Matsui", "given" : "Taisuke", "non-dropping-particle" : "", "parse-names" : false, "suffix" : "" }, { "dropping-particle" : "", "family" : "Im", "given" : "Sang Hyuk", "non-dropping-particle" : "", "parse-names" : false, "suffix" : "" }, { "dropping-particle" : "", "family" : "Zakeeruddin", "given" : "Shaik M", "non-dropping-particle" : "", "parse-names" : false, "suffix" : "" }, { "dropping-particle" : "", "family" : "Nazeeruddin", "given" : "Mohammad Khaja", "non-dropping-particle" : "", "parse-names" : false, "suffix" : "" }, { "dropping-particle" : "", "family" : "Hagfeldt", "given" : "Anders", "non-dropping-particle" : "", "parse-names" : false, "suffix" : "" }, { "dropping-particle" : "", "family" : "Graetzel", "given" : "Michael", "non-dropping-particle" : "", "parse-names" : false, "suffix" : "" } ], "container-title" : "Nature Communications", "id" : "ITEM-3", "issued" : { "date-parts" : [ [ "2016", "1", "13" ] ] }, "page" : "10379", "title" : "Enhanced electronic properties in mesoporous TiO2 via lithium doping for high-efficiency perovskite solar cells", "type" : "article-journal", "volume" : "7" }, "uris" : [ "http://www.mendeley.com/documents/?uuid=a97e1dae-3cb6-38ff-9ecd-d6671f7d4ce9" ] }, { "id" : "ITEM-4",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"ITEM-4",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"&lt;sup&gt;14\u201317&lt;/sup&gt;", "plainTextFormattedCitation" : "14\u201317", "previouslyFormattedCitation" : "&lt;sup&gt;14\u201317&lt;/sup&gt;" }, "properties" : {  }, "schema" : "https://github.com/citation-style-language/schema/raw/master/csl-citation.json" }</w:instrText>
      </w:r>
      <w:r w:rsidR="0099656C" w:rsidRPr="001B5503">
        <w:fldChar w:fldCharType="separate"/>
      </w:r>
      <w:r w:rsidR="009E3660" w:rsidRPr="001B5503">
        <w:rPr>
          <w:noProof/>
          <w:vertAlign w:val="superscript"/>
        </w:rPr>
        <w:t>14–17</w:t>
      </w:r>
      <w:r w:rsidR="0099656C" w:rsidRPr="001B5503">
        <w:fldChar w:fldCharType="end"/>
      </w:r>
      <w:r w:rsidR="00683DEE">
        <w:t xml:space="preserve"> </w:t>
      </w:r>
      <w:r w:rsidRPr="001B5503">
        <w:t xml:space="preserve">This method is </w:t>
      </w:r>
      <w:r w:rsidR="004B417C" w:rsidRPr="001B5503">
        <w:t>implemented</w:t>
      </w:r>
      <w:r w:rsidR="00683DEE">
        <w:t xml:space="preserve"> </w:t>
      </w:r>
      <w:r w:rsidR="004B417C" w:rsidRPr="001B5503">
        <w:t>in</w:t>
      </w:r>
      <w:r w:rsidRPr="001B5503">
        <w:t>to the conventional spin</w:t>
      </w:r>
      <w:r w:rsidR="009E5CA5">
        <w:t>-coating method, which can use d</w:t>
      </w:r>
      <w:r w:rsidRPr="001B5503">
        <w:t>imethylformamide (DMF), dimethylsulfoxide (DMSO) or γ</w:t>
      </w:r>
      <w:r w:rsidR="00EC175E" w:rsidRPr="001B5503">
        <w:t>-butyrolactone (GBL</w:t>
      </w:r>
      <w:r w:rsidRPr="001B5503">
        <w:t>) as solvents</w:t>
      </w:r>
      <w:r w:rsidR="004B417C" w:rsidRPr="001B5503">
        <w:t xml:space="preserve"> for perovskite precursors</w:t>
      </w:r>
      <w:r w:rsidRPr="001B5503">
        <w:t xml:space="preserve">. What makes this method different is the addition of a drop of </w:t>
      </w:r>
      <w:r w:rsidR="004B417C" w:rsidRPr="001B5503">
        <w:t xml:space="preserve">a non-polar solvent </w:t>
      </w:r>
      <w:r w:rsidRPr="001B5503">
        <w:t>into the mixture during the spin-coating stage</w:t>
      </w:r>
      <w:r w:rsidR="00683DEE">
        <w:t xml:space="preserve"> </w:t>
      </w:r>
      <w:r w:rsidR="004B417C" w:rsidRPr="001B5503">
        <w:t>in order to force the formation of nucleation cent</w:t>
      </w:r>
      <w:r w:rsidR="00233B6B" w:rsidRPr="001B5503">
        <w:t>r</w:t>
      </w:r>
      <w:r w:rsidR="004B417C" w:rsidRPr="001B5503">
        <w:t>es</w:t>
      </w:r>
      <w:r w:rsidRPr="001B5503">
        <w:t>.</w:t>
      </w:r>
      <w:r w:rsidR="005C1A0E">
        <w:t xml:space="preserve"> </w:t>
      </w:r>
      <w:r w:rsidR="00E35A97">
        <w:t>Thus far,</w:t>
      </w:r>
      <w:r w:rsidR="005C1A0E">
        <w:t xml:space="preserve"> the most </w:t>
      </w:r>
      <w:r w:rsidR="00E35A97">
        <w:t xml:space="preserve">used </w:t>
      </w:r>
      <w:r w:rsidR="005C1A0E">
        <w:t xml:space="preserve">solvents </w:t>
      </w:r>
      <w:r w:rsidR="00E35A97">
        <w:t>for this method are</w:t>
      </w:r>
      <w:r w:rsidR="005C1A0E" w:rsidRPr="001B5503">
        <w:t xml:space="preserve"> chlorobenzene (CB)</w:t>
      </w:r>
      <w:r w:rsidR="00E35A97">
        <w:t>, toluene (T</w:t>
      </w:r>
      <w:r w:rsidR="005068DA">
        <w:t>L</w:t>
      </w:r>
      <w:r w:rsidR="00E35A97">
        <w:t>) and diethyl ether (</w:t>
      </w:r>
      <w:r w:rsidR="005068DA">
        <w:t>DE</w:t>
      </w:r>
      <w:r w:rsidR="00E35A97">
        <w:t>)</w:t>
      </w:r>
      <w:r w:rsidR="005068DA">
        <w:t>, also known as ether</w:t>
      </w:r>
      <w:r w:rsidR="005C1A0E">
        <w:t>.</w:t>
      </w:r>
      <w:r w:rsidR="00E35A97">
        <w:fldChar w:fldCharType="begin" w:fldLock="1"/>
      </w:r>
      <w:r w:rsidR="005068DA">
        <w:instrText>ADDIN CSL_CITATION { "citationItems" : [ { "id" : "ITEM-1", "itemData" : { "DOI" : "10.1021/acs.chemmater.6b05353", "ISSN" : "0897-4756", "abstract" : "To date, antisolvent treatment has become one of the most important means to fabricate high efficiency perovskite solar cells (PSCs); however, the few reported antisolvents have not been analyzed on a uniform platform, and there is hitherto no clear reasoning in the choice of antisolvents toward high performance PSCs. Here, we study the role of the antisolvents in the nucleation kinetics of perovskite solutions and their residual influence on perovskite crystal growth, film formation, and device performance. Through X-ray diffraction analysis on the complicated double mixed perovskite, we qualitatively evaluate the impact of thermal annealing and antisolvent treatment (A.S.T.) on the phase composition and microstructure of the films. By using miscible antisolvents with high boiling point instead of immiscible low boiling point solvents, we obtain homogeneous and almost pinhole-free perovskite films. When using trifluorotoluene (TFT) to replace toluene and chlorobenzene as a novel antisolvent, we achieve a power conversion efficiency (PCE) of 20.3% under optimized device fabrication conditions with a composite perovskite as active layer. The conclusions from this study should assist in establishing reproducible fabrication processes and finding better antisolvent candidates for perovskite solar cells.", "author" : [ { "dropping-particle" : "", "family" : "Paek", "given" : "S", "non-dropping-particle" : "", "parse-names" : false, "suffix" : "" }, { "dropping-particle" : "", "family" : "Schouwink", "given" : "P", "non-dropping-particle" : "", "parse-names" : false, "suffix" : "" }, { "dropping-particle" : "", "family" : "Athanasopoulou", "given" : "E Nefeli", "non-dropping-particle" : "", "parse-names" : false, "suffix" : "" }, { "dropping-particle" : "", "family" : "Cho", "given" : "K T", "non-dropping-particle" : "", "parse-names" : false, "suffix" : "" }, { "dropping-particle" : "", "family" : "Grancini", "given" : "G", "non-dropping-particle" : "", "parse-names" : false, "suffix" : "" }, { "dropping-particle" : "", "family" : "Lee", "given" : "Y", "non-dropping-particle" : "", "parse-names" : false, "suffix" : "" }, { "dropping-particle" : "", "family" : "Zhang", "given" : "Y", "non-dropping-particle" : "", "parse-names" : false, "suffix" : "" }, { "dropping-particle" : "", "family" : "Stellacci", "given" : "F", "non-dropping-particle" : "", "parse-names" : false, "suffix" : "" }, { "dropping-particle" : "", "family" : "Nazeeruddin", "given" : "Mohammad Khaja", "non-dropping-particle" : "", "parse-names" : false, "suffix" : "" }, { "dropping-particle" : "", "family" : "Gao", "given" : "P", "non-dropping-particle" : "", "parse-names" : false, "suffix" : "" } ], "container-title" : "Chemistry of Materials", "id" : "ITEM-1", "issue" : "8", "issued" : { "date-parts" : [ [ "2017", "4", "25" ] ] }, "note" : "doi: 10.1021/acs.chemmater.6b05353", "page" : "3490-3498", "publisher" : "American Chemical Society", "title" : "From Nano- to Micrometer Scale: The Role of Antisolvent Treatment on High Performance Perovskite Solar Cells", "type" : "article-journal", "volume" : "29" }, "uris" : [ "http://www.mendeley.com/documents/?uuid=c5aa0e0b-4119-475e-b4f3-86a4a39fd488" ] }, { "id" : "ITEM-2", "itemData" : { "DOI" : "10.3390/cryst7100291", "ISBN" : "2073-4352", "ISSN" : "2073-4352", "abstract" : "Solution-processed organic-inorganic halide perovskites are currently established as the hottest area of interest in the world of photovoltaics, ensuring low manufacturing cost and high conversion efficiencies. Even though various fabrication/deposition approaches and device architectures have been tested, researchers quickly realized that the key for the excellent solar cell operation was the quality of the crystallization of the perovskite film, employed to assure efficient photogeneration of carriers, charge separation and transport of the separated carriers at the contacts. One of the most typical methods in chemistry to crystallize a material is anti-solvent precipitation. Indeed, this classical precipitation method worked really well for the growth of single crystals of perovskite. Fortunately, the method was also effective for the preparation of perovskite films by adopting an anti-solvent dripping technique during spin-coating the perovskite precursor solution on the substrate. With this, polycrystalline perovskite films with pure and stable crystal phases accompanied with excellent surface coverage were prepared, leading to highly reproducible efficiencies close to 22%. In this review, we discuss recent results on highly efficient solar cells, obtained by the anti-solvent dripping method, always in the presence of Lewis base adducts of lead(II) iodide. We present all the anti-solvents that can be used and what is the impact of them on device efficiencies. Finally, we analyze the critical challenges that currently limit the efficacy/reproducibility of this crystallization method and propose prospects for future directions.", "author" : [ { "dropping-particle" : "", "family" : "Konstantakou", "given" : "Maria", "non-dropping-particle" : "", "parse-names" : false, "suffix" : "" }, { "dropping-particle" : "", "family" : "Perganti", "given" : "Dorothea", "non-dropping-particle" : "", "parse-names" : false, "suffix" : "" }, { "dropping-particle" : "", "family" : "Falaras", "given" : "Polycarpos", "non-dropping-particle" : "", "parse-names" : false, "suffix" : "" }, { "dropping-particle" : "", "family" : "Stergiopoulos", "given" : "Thomas", "non-dropping-particle" : "", "parse-names" : false, "suffix" : "" } ], "container-title" : "Crystals", "id" : "ITEM-2", "issue" : "10", "issued" : { "date-parts" : [ [ "2017", "9", "28" ] ] }, "page" : "291", "title" : "Anti-Solvent Crystallization Strategies for Highly Efficient Perovskite Solar Cells", "type" : "article-journal", "volume" : "7" }, "uris" : [ "http://www.mendeley.com/documents/?uuid=9dae9838-baeb-4a07-9fd6-9c5580b3bf9a" ] } ], "mendeley" : { "formattedCitation" : "&lt;sup&gt;18,19&lt;/sup&gt;", "plainTextFormattedCitation" : "18,19", "previouslyFormattedCitation" : "&lt;sup&gt;18,19&lt;/sup&gt;" }, "properties" : {  }, "schema" : "https://github.com/citation-style-language/schema/raw/master/csl-citation.json" }</w:instrText>
      </w:r>
      <w:r w:rsidR="00E35A97">
        <w:fldChar w:fldCharType="separate"/>
      </w:r>
      <w:r w:rsidR="005068DA" w:rsidRPr="005068DA">
        <w:rPr>
          <w:noProof/>
          <w:vertAlign w:val="superscript"/>
        </w:rPr>
        <w:t>18,19</w:t>
      </w:r>
      <w:r w:rsidR="00E35A97">
        <w:fldChar w:fldCharType="end"/>
      </w:r>
      <w:r w:rsidR="005C1A0E">
        <w:t xml:space="preserve"> Nevertheless, other solvents are also </w:t>
      </w:r>
      <w:r w:rsidR="00F276F5">
        <w:t>being used</w:t>
      </w:r>
      <w:r w:rsidR="005068DA">
        <w:t xml:space="preserve"> good performances</w:t>
      </w:r>
      <w:r w:rsidR="005C1A0E">
        <w:t xml:space="preserve"> </w:t>
      </w:r>
      <w:r w:rsidR="005068DA">
        <w:t>such as ethyl acetate (EA)</w:t>
      </w:r>
      <w:r w:rsidR="00F276F5">
        <w:t>, Xylene (XYL) and</w:t>
      </w:r>
      <w:r w:rsidR="005068DA">
        <w:t xml:space="preserve"> </w:t>
      </w:r>
      <w:r w:rsidR="00A778B5">
        <w:t>dichloromethane (DCM)</w:t>
      </w:r>
      <w:r w:rsidR="005068DA">
        <w:t>.</w:t>
      </w:r>
      <w:r w:rsidR="00F276F5">
        <w:fldChar w:fldCharType="begin" w:fldLock="1"/>
      </w:r>
      <w:r w:rsidR="0075168A">
        <w:instrText>ADDIN CSL_CITATION { "citationItems" : [ { "id" : "ITEM-1", "itemData" : { "DOI" : "10.3390/cryst7100291", "ISBN" : "2073-4352", "ISSN" : "2073-4352", "abstract" : "Solution-processed organic-inorganic halide perovskites are currently established as the hottest area of interest in the world of photovoltaics, ensuring low manufacturing cost and high conversion efficiencies. Even though various fabrication/deposition approaches and device architectures have been tested, researchers quickly realized that the key for the excellent solar cell operation was the quality of the crystallization of the perovskite film, employed to assure efficient photogeneration of carriers, charge separation and transport of the separated carriers at the contacts. One of the most typical methods in chemistry to crystallize a material is anti-solvent precipitation. Indeed, this classical precipitation method worked really well for the growth of single crystals of perovskite. Fortunately, the method was also effective for the preparation of perovskite films by adopting an anti-solvent dripping technique during spin-coating the perovskite precursor solution on the substrate. With this, polycrystalline perovskite films with pure and stable crystal phases accompanied with excellent surface coverage were prepared, leading to highly reproducible efficiencies close to 22%. In this review, we discuss recent results on highly efficient solar cells, obtained by the anti-solvent dripping method, always in the presence of Lewis base adducts of lead(II) iodide. We present all the anti-solvents that can be used and what is the impact of them on device efficiencies. Finally, we analyze the critical challenges that currently limit the efficacy/reproducibility of this crystallization method and propose prospects for future directions.", "author" : [ { "dropping-particle" : "", "family" : "Konstantakou", "given" : "Maria", "non-dropping-particle" : "", "parse-names" : false, "suffix" : "" }, { "dropping-particle" : "", "family" : "Perganti", "given" : "Dorothea", "non-dropping-particle" : "", "parse-names" : false, "suffix" : "" }, { "dropping-particle" : "", "family" : "Falaras", "given" : "Polycarpos", "non-dropping-particle" : "", "parse-names" : false, "suffix" : "" }, { "dropping-particle" : "", "family" : "Stergiopoulos", "given" : "Thomas", "non-dropping-particle" : "", "parse-names" : false, "suffix" : "" } ], "container-title" : "Crystals", "id" : "ITEM-1", "issue" : "10", "issued" : { "date-parts" : [ [ "2017", "9", "28" ] ] }, "page" : "291", "title" : "Anti-Solvent Crystallization Strategies for Highly Efficient Perovskite Solar Cells", "type" : "article-journal", "volume" : "7" }, "uris" : [ "http://www.mendeley.com/documents/?uuid=9dae9838-baeb-4a07-9fd6-9c5580b3bf9a" ] }, { "id" : "ITEM-2", "itemData" : { "DOI" : "10.1039/C7SE00125H", "ISSN" : "2398-4902", "abstract" : "For high-performance perovskite solar cells, one-step solution deposition with anti-solvent washing is reported as an excellent processing method. In this paper, we employ attenuated total reflection Fourier transform infrared spectroscopy (ATR-FTIR), to quantitatively evaluate the relative contents of an intermediate phase in the as-prepared films, altered by anti-solvents, i.e. dichloromethane (DCM), toluene (TL), and diethyl ether (DE). Based on the joint measurements of scanning electron microscopy (SEM), X-ray diffraction (XRD), photoluminescence (PL), femtosecond transient absorption (fs-TA), current\u2013voltage (J\u2013V), and impedance spectroscopy, we reveal that a high content of the intermediate phase endowed with the anti-solvent DE is beneficial to film quality and device efficiency. A high coverage and pin-hole free CH3NH3PbI3 film with a long PL lifetime attained via DE washing is utilized to fabricate a CH3NH3PbI3 solar cell exhibiting over 17% power conversion efficiency. It is found that the formation of a high content intermediate phase in the as-prepared thin film is crucial to finally produce a dense and compact perovskite film with the aid of thermal annealing.", "author" : [ { "dropping-particle" : "", "family" : "Li", "given" : "Yang", "non-dropping-particle" : "", "parse-names" : false, "suffix" : "" }, { "dropping-particle" : "", "family" : "Wang", "given" : "Jianan", "non-dropping-particle" : "", "parse-names" : false, "suffix" : "" }, { "dropping-particle" : "", "family" : "Yuan", "given" : "Yi", "non-dropping-particle" : "", "parse-names" : false, "suffix" : "" }, { "dropping-particle" : "", "family" : "Dong", "given" : "Xiandui", "non-dropping-particle" : "", "parse-names" : false, "suffix" : "" }, { "dropping-particle" : "", "family" : "Wang", "given" : "Peng", "non-dropping-particle" : "", "parse-names" : false, "suffix" : "" } ], "container-title" : "Sustainable Energy &amp; Fuels", "id" : "ITEM-2", "issue" : "5", "issued" : { "date-parts" : [ [ "2017" ] ] }, "page" : "1041-1048", "publisher" : "The Royal Society of Chemistry", "title" : "Anti-solvent dependent device performance in CH 3 NH 3 PbI 3 solar cells: the role of intermediate phase content in the as-prepared thin films", "type" : "article-journal", "volume" : "1" }, "uris" : [ "http://www.mendeley.com/documents/?uuid=5f89ff36-2e29-4d59-9354-02707711d713" ] }, { "id" : "ITEM-3", "itemData" : { "DOI" : "10.1016/j.nanoen.2015.08.023", "ISSN" : "22112855", "abstract" : "Anti-solvent assisted crystallization (ASAC) approach was used to synthesize crystalline CH3NH3PbBr3 thin films with uniform microstructures through accelerated crystallization process at room temperature. The influence of different solvents and various interval dropping time on the final morphology was investigated. Photovoltaic devices with TiO2/CH3NH3PbBr3/spiro-MeOTAD structure were fabricated using ASAC approach without any post-annealing process. The devices were found to exhibit fast photocurrent response and small J\u2013V hysteresis due to the room temperature processing that minimizes the formation of surface electron traps and corresponding slow transient current. The ASAC-CH3NH3PbBr3 solar cells exhibited open circuit voltage of 1.42V with champion power conversion efficiency (PCE) of 8.29%, much higher than the devices fabricated without using anti-solvent approach having a Voc of 1.01V and PCE of 3.15%. Our results demonstrate that ASAC approach can provide high performance room temperature fabrication method for low-cost perovskite solar cells.", "author" : [ { "dropping-particle" : "", "family" : "Zheng", "given" : "Xiaojia", "non-dropping-particle" : "", "parse-names" : false, "suffix" : "" }, { "dropping-particle" : "", "family" : "Chen", "given" : "Bo", "non-dropping-particle" : "", "parse-names" : false, "suffix" : "" }, { "dropping-particle" : "", "family" : "Wu", "given" : "Congcong", "non-dropping-particle" : "", "parse-names" : false, "suffix" : "" }, { "dropping-particle" : "", "family" : "Priya", "given" : "Shashank", "non-dropping-particle" : "", "parse-names" : false, "suffix" : "" } ], "container-title" : "Nano Energy", "id" : "ITEM-3", "issued" : { "date-parts" : [ [ "2015", "10" ] ] }, "page" : "269-278", "title" : "Room temperature fabrication of CH 3 NH 3 PbBr 3 by anti-solvent assisted crystallization approach for perovskite solar cells with fast response and small J \u2013 V hysteresis", "type" : "article-journal", "volume" : "17" }, "uris" : [ "http://www.mendeley.com/documents/?uuid=5b222e7c-d69c-4a49-bcc3-66e5f589aa37" ] } ], "mendeley" : { "formattedCitation" : "&lt;sup&gt;19\u201321&lt;/sup&gt;", "plainTextFormattedCitation" : "19\u201321", "previouslyFormattedCitation" : "&lt;sup&gt;19\u201321&lt;/sup&gt;" }, "properties" : {  }, "schema" : "https://github.com/citation-style-language/schema/raw/master/csl-citation.json" }</w:instrText>
      </w:r>
      <w:r w:rsidR="00F276F5">
        <w:fldChar w:fldCharType="separate"/>
      </w:r>
      <w:r w:rsidR="00F276F5" w:rsidRPr="00F276F5">
        <w:rPr>
          <w:noProof/>
          <w:vertAlign w:val="superscript"/>
        </w:rPr>
        <w:t>19–21</w:t>
      </w:r>
      <w:r w:rsidR="00F276F5">
        <w:fldChar w:fldCharType="end"/>
      </w:r>
    </w:p>
    <w:p w14:paraId="3E0CC530" w14:textId="77777777" w:rsidR="00931222" w:rsidRPr="001B5503" w:rsidRDefault="00516E06" w:rsidP="00D93CB6">
      <w:r w:rsidRPr="001B5503">
        <w:t>Ch</w:t>
      </w:r>
      <w:r w:rsidR="004747D9" w:rsidRPr="001B5503">
        <w:t>emical and optoelectronic properties</w:t>
      </w:r>
      <w:r w:rsidRPr="001B5503">
        <w:t xml:space="preserve"> of the three cations are </w:t>
      </w:r>
      <w:r w:rsidR="005344CC" w:rsidRPr="001B5503">
        <w:t>notabl</w:t>
      </w:r>
      <w:r w:rsidRPr="001B5503">
        <w:t>y different. On one hand, band gap of FA</w:t>
      </w:r>
      <w:r w:rsidR="00D563E8" w:rsidRPr="001B5503">
        <w:t>PbI</w:t>
      </w:r>
      <w:r w:rsidR="00D563E8" w:rsidRPr="001B5503">
        <w:rPr>
          <w:vertAlign w:val="subscript"/>
        </w:rPr>
        <w:t>3</w:t>
      </w:r>
      <w:r w:rsidRPr="001B5503">
        <w:t xml:space="preserve"> is closer to the </w:t>
      </w:r>
      <w:r w:rsidR="00D932E2" w:rsidRPr="001B5503">
        <w:t xml:space="preserve">theoretical </w:t>
      </w:r>
      <w:r w:rsidRPr="001B5503">
        <w:t>optimum</w:t>
      </w:r>
      <w:r w:rsidR="00C31C3B" w:rsidRPr="001B5503">
        <w:t>.</w:t>
      </w:r>
      <w:r w:rsidR="0099656C" w:rsidRPr="001B5503">
        <w:fldChar w:fldCharType="begin" w:fldLock="1"/>
      </w:r>
      <w:r w:rsidR="00D67546">
        <w:instrText>ADDIN CSL_CITATION { "citationItems" : [ { "id" : "ITEM-1", "itemData" : { "DOI" : "10.1063/1.1736034", "ISSN" : "0021-8979", "abstract" : "In order to find an upper theoretical limit for the efficiency of p-n junction solar energy converters, a limiting efficiency, called the detailed balance limit of efficiency, has been calculated for an ideal case in which the only recombination mechanism of hole-electron pairs is radiative as required by the principle of detailed balance. The efficiency is also calculated for the case in which radiative recombination is only a fixed fraction fc of the total recombination, the rest being nonradiative. Efficiencies at the matched loads have been calculated with band gap and fc as parameters, the sun and cell being assumed to be blackbodies with temperatures of 6000\u00b0K and 300\u00b0K, respectively. The maximum efficiency is found to be 30% for an energy gap of 1.1 ev and fc = 1. Actual junctions do not obey the predicted current-voltage relationship, and reasons for the difference and its relevance to efficiency are discussed. \u00a9 1961 The American Institute of Physics.", "author" : [ { "dropping-particle" : "", "family" : "Shockley", "given" : "William", "non-dropping-particle" : "", "parse-names" : false, "suffix" : "" }, { "dropping-particle" : "", "family" : "Queisser", "given" : "Hans J.", "non-dropping-particle" : "", "parse-names" : false, "suffix" : "" } ], "container-title" : "Journal of Applied Physics", "id" : "ITEM-1", "issue" : "3", "issued" : { "date-parts" : [ [ "1961", "3" ] ] }, "page" : "510-519", "title" : "Detailed Balance Limit of Efficiency of p\u2010n Junction Solar Cells", "type" : "article-journal", "volume" : "32" }, "uris" : [ "http://www.mendeley.com/documents/?uuid=a42f5f94-964f-4e3b-84b3-e2eeaf85dd23" ] } ], "mendeley" : { "formattedCitation" : "&lt;sup&gt;22&lt;/sup&gt;", "plainTextFormattedCitation" : "22", "previouslyFormattedCitation" : "&lt;sup&gt;22&lt;/sup&gt;" }, "properties" : {  }, "schema" : "https://github.com/citation-style-language/schema/raw/master/csl-citation.json" }</w:instrText>
      </w:r>
      <w:r w:rsidR="0099656C" w:rsidRPr="001B5503">
        <w:fldChar w:fldCharType="separate"/>
      </w:r>
      <w:r w:rsidR="00D67546" w:rsidRPr="00D67546">
        <w:rPr>
          <w:noProof/>
          <w:vertAlign w:val="superscript"/>
        </w:rPr>
        <w:t>22</w:t>
      </w:r>
      <w:r w:rsidR="0099656C" w:rsidRPr="001B5503">
        <w:fldChar w:fldCharType="end"/>
      </w:r>
      <w:r w:rsidR="00D3348E" w:rsidRPr="001B5503">
        <w:t xml:space="preserve"> Yet</w:t>
      </w:r>
      <w:r w:rsidR="00D932E2" w:rsidRPr="001B5503">
        <w:t xml:space="preserve">, </w:t>
      </w:r>
      <w:r w:rsidR="00D03867" w:rsidRPr="001B5503">
        <w:t xml:space="preserve">pure </w:t>
      </w:r>
      <w:r w:rsidR="00D932E2" w:rsidRPr="001B5503">
        <w:t>FA</w:t>
      </w:r>
      <w:r w:rsidR="005B659A" w:rsidRPr="001B5503">
        <w:t>PbI</w:t>
      </w:r>
      <w:r w:rsidR="005B659A" w:rsidRPr="001B5503">
        <w:rPr>
          <w:vertAlign w:val="subscript"/>
        </w:rPr>
        <w:t>3</w:t>
      </w:r>
      <w:r w:rsidR="00B0222C" w:rsidRPr="001B5503">
        <w:t xml:space="preserve"> p</w:t>
      </w:r>
      <w:r w:rsidR="002C63AD" w:rsidRPr="001B5503">
        <w:t>resents low structural stability at room temperature as a disadvantage</w:t>
      </w:r>
      <w:r w:rsidR="00C31C3B" w:rsidRPr="001B5503">
        <w:t>,</w:t>
      </w:r>
      <w:r w:rsidR="0099656C" w:rsidRPr="001B5503">
        <w:fldChar w:fldCharType="begin" w:fldLock="1"/>
      </w:r>
      <w:r w:rsidR="00D67546">
        <w:instrText>ADDIN CSL_CITATION { "citationItems" : [ { "id" : "ITEM-1", "itemData" : { "DOI" : "10.1002/adma.201401137", "ISBN" : "0935-9648", "ISSN" : "15214095", "PMID" : "24923708", "abstract" : "Perovskite solar cells with power conversion efficiency exceeding 16% at AM 1.5G one sun illumination are developed using the black polymorph of formamidnium lead iodide, HC(NH2 )2 PbI3 . Compared with CH3 NH3 PbI3 , HC(NH2 )2 PbI3 extends its absoprtion to 840 nm and shows no phase transition between 296 and 423 K. Moreover, a solar cell based on HC(NH2 )2 PbI3 exhibits photostability and little I-V hysteresis.", "author" : [ { "dropping-particle" : "", "family" : "Lee", "given" : "Jin Wook", "non-dropping-particle" : "", "parse-names" : false, "suffix" : "" }, { "dropping-particle" : "", "family" : "Seol", "given" : "Dong Jin", "non-dropping-particle" : "", "parse-names" : false, "suffix" : "" }, { "dropping-particle" : "", "family" : "Cho", "given" : "An Na", "non-dropping-particle" : "", "parse-names" : false, "suffix" : "" }, { "dropping-particle" : "", "family" : "Park", "given" : "Nam Gyu", "non-dropping-particle" : "", "parse-names" : false, "suffix" : "" } ], "container-title" : "Advanced Materials", "id" : "ITEM-1", "issue" : "29", "issued" : { "date-parts" : [ [ "2014" ] ] }, "page" : "4991-4998", "title" : "High-efficiency perovskite solar cells based on the black polymorph of HC(NH2)2PbI3", "type" : "article-journal", "volume" : "26" }, "uris" : [ "http://www.mendeley.com/documents/?uuid=1d07e551-c4cd-32aa-815b-3178483c6ebb" ] }, { "id" : "ITEM-2", "itemData" : { "DOI" : "10.1021/ic401215x", "ISSN" : "1520-510X", "PMID" : "23834108", "abstract" : "A broad organic-inorganic series of hybrid metal iodide perovskites with the general formulation AMI3, where A is the methylammonium (CH3NH3(+)) or formamidinium (HC(NH2)2(+)) cation and M is Sn (1 and 2) or Pb (3 and 4) are reported. The compounds have been prepared through a variety of synthetic approaches, and the nature of the resulting materials is discussed in terms of their thermal stability and optical and electronic properties. We find that the chemical and physical properties of these materials strongly depend on the preparation method. Single crystal X-ray diffraction analysis of 1-4 classifies the compounds in the perovskite structural family. Structural phase transitions were observed and investigated by temperature-dependent single crystal X-ray diffraction in the 100-400 K range. The charge transport properties of the materials are discussed in conjunction with diffuse reflectance studies in the mid-IR region that display characteristic absorption features. Temperature-dependent studies show a strong dependence of the resistivity as a function of the crystal structure. Optical absorption measurements indicate that 1-4 behave as direct-gap semiconductors with energy band gaps distributed in the range of 1.25-1.75 eV. The compounds exhibit an intense near-IR photoluminescence (PL) emission in the 700-1000 nm range (1.1-1.7 eV) at room temperature. We show that solid solutions between the Sn and Pb compounds are readily accessible throughout the composition range. The optical properties such as energy band gap, emission intensity, and wavelength can be readily controlled as we show for the isostructural series of solid solutions CH3NH3Sn(1-x)Pb(x)I3 (5). The charge transport type in these materials was characterized by Seebeck coefficient and Hall-effect measurements. The compounds behave as p- or n-type semiconductors depending on the preparation method. The samples with the lowest carrier concentration are prepared from solution and are n-type; p-type samples can be obtained through solid state reactions exposed in air in a controllable manner. In the case of Sn compounds, there is a facile tendency toward oxidation which causes the materials to be doped with Sn(4+) and thus behave as p-type semiconductors displaying metal-like conductivity. The compounds appear to possess very high estimated electron and hole mobilities that exceed 2000 cm(2)/(V s) and 300 cm(2)/(V s), respectively, as shown in the case of CH3NH3SnI3 (1). We also compare \u2026", "author" : [ { "dropping-particle" : "", "family" : "Stoumpos", "given" : "Constantinos C", "non-dropping-particle" : "", "parse-names" : false, "suffix" : "" }, { "dropping-particle" : "", "family" : "Malliakas", "given" : "Christos D", "non-dropping-particle" : "", "parse-names" : false, "suffix" : "" }, { "dropping-particle" : "", "family" : "Kanatzidis", "given" : "Mercouri G", "non-dropping-particle" : "", "parse-names" : false, "suffix" : "" } ], "container-title" : "Inorganic chemistry", "id" : "ITEM-2", "issue" : "15", "issued" : { "date-parts" : [ [ "2013", "8", "5" ] ] }, "page" : "9019-38", "title" : "Semiconducting tin and lead iodide perovskites with organic cations: phase transitions, high mobilities, and near-infrared photoluminescent properties.", "type" : "article-journal", "volume" : "52" }, "uris" : [ "http://www.mendeley.com/documents/?uuid=0c8f6111-2674-4a68-b751-f0481bed3dda" ] } ], "mendeley" : { "formattedCitation" : "&lt;sup&gt;11,23&lt;/sup&gt;", "plainTextFormattedCitation" : "11,23", "previouslyFormattedCitation" : "&lt;sup&gt;11,23&lt;/sup&gt;" }, "properties" : {  }, "schema" : "https://github.com/citation-style-language/schema/raw/master/csl-citation.json" }</w:instrText>
      </w:r>
      <w:r w:rsidR="0099656C" w:rsidRPr="001B5503">
        <w:fldChar w:fldCharType="separate"/>
      </w:r>
      <w:r w:rsidR="00D67546" w:rsidRPr="00D67546">
        <w:rPr>
          <w:noProof/>
          <w:vertAlign w:val="superscript"/>
        </w:rPr>
        <w:t>11,23</w:t>
      </w:r>
      <w:r w:rsidR="0099656C" w:rsidRPr="001B5503">
        <w:fldChar w:fldCharType="end"/>
      </w:r>
      <w:r w:rsidR="00D932E2" w:rsidRPr="001B5503">
        <w:t xml:space="preserve"> thus needing MA</w:t>
      </w:r>
      <w:r w:rsidR="00D563E8" w:rsidRPr="001B5503">
        <w:t>PbI</w:t>
      </w:r>
      <w:r w:rsidR="00D563E8" w:rsidRPr="001B5503">
        <w:rPr>
          <w:vertAlign w:val="subscript"/>
        </w:rPr>
        <w:t>3</w:t>
      </w:r>
      <w:r w:rsidR="00D932E2" w:rsidRPr="001B5503">
        <w:t xml:space="preserve"> to </w:t>
      </w:r>
      <w:r w:rsidR="00D563E8" w:rsidRPr="001B5503">
        <w:t>reach</w:t>
      </w:r>
      <w:r w:rsidR="00D932E2" w:rsidRPr="001B5503">
        <w:t xml:space="preserve"> a </w:t>
      </w:r>
      <w:r w:rsidR="009F37F1" w:rsidRPr="001B5503">
        <w:t>fair balance</w:t>
      </w:r>
      <w:r w:rsidR="00D932E2" w:rsidRPr="001B5503">
        <w:t xml:space="preserve"> between efficiency and stability.</w:t>
      </w:r>
      <w:r w:rsidR="00683DEE">
        <w:t xml:space="preserve"> </w:t>
      </w:r>
      <w:r w:rsidR="00D3348E" w:rsidRPr="001B5503">
        <w:t xml:space="preserve">On the other hand, </w:t>
      </w:r>
      <w:r w:rsidR="005344CC" w:rsidRPr="001B5503">
        <w:t xml:space="preserve">inclusion of </w:t>
      </w:r>
      <w:r w:rsidR="000B4699" w:rsidRPr="001B5503">
        <w:t>Cs</w:t>
      </w:r>
      <w:r w:rsidR="005344CC" w:rsidRPr="001B5503">
        <w:t xml:space="preserve"> enhances</w:t>
      </w:r>
      <w:r w:rsidR="00683DEE">
        <w:t xml:space="preserve"> </w:t>
      </w:r>
      <w:r w:rsidR="005344CC" w:rsidRPr="001B5503">
        <w:t>the</w:t>
      </w:r>
      <w:r w:rsidR="00683DEE">
        <w:t xml:space="preserve"> </w:t>
      </w:r>
      <w:r w:rsidR="00D3348E" w:rsidRPr="001B5503">
        <w:t xml:space="preserve">stability of </w:t>
      </w:r>
      <w:r w:rsidR="00B0222C" w:rsidRPr="001B5503">
        <w:t xml:space="preserve">Br </w:t>
      </w:r>
      <w:r w:rsidR="00D3348E" w:rsidRPr="001B5503">
        <w:t>PSCs</w:t>
      </w:r>
      <w:r w:rsidR="00C31C3B" w:rsidRPr="001B5503">
        <w:t>.</w:t>
      </w:r>
      <w:r w:rsidR="0099656C" w:rsidRPr="001B5503">
        <w:fldChar w:fldCharType="begin" w:fldLock="1"/>
      </w:r>
      <w:r w:rsidR="00D67546">
        <w:instrText>ADDIN CSL_CITATION { "citationItems" : [ { "id" : "ITEM-1", "itemData" : { "DOI" : "10.1021/acs.jpclett.5b00968", "ISBN" : "1948-7185", "ISSN" : "1948-7185", "PMID" : "26266718", "abstract" : "Hybrid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cells.\\nHybrid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 "author" : [ { "dropping-particle" : "", "family" : "Kulbak", "given" : "Michael", "non-dropping-particle" : "", "parse-names" : false, "suffix" : "" }, { "dropping-particle" : "", "family" : "Cahen", "given" : "David", "non-dropping-particle" : "", "parse-names" : false, "suffix" : "" }, { "dropping-particle" : "", "family" : "Hodes", "given" : "Gary", "non-dropping-particle" : "", "parse-names" : false, "suffix" : "" } ], "container-title" : "The Journal of Physical Chemistry Letters", "id" : "ITEM-1", "issue" : "13", "issued" : { "date-parts" : [ [ "2015", "7", "2" ] ] }, "page" : "2452-2456", "title" : "How Important Is the Organic Part of Lead Halide Perovskite Photovoltaic Cells? Efficient CsPbBr 3 Cells", "type" : "article-journal", "volume" : "6" }, "uris" : [ "http://www.mendeley.com/documents/?uuid=1540697b-025a-39af-88ce-4f6756a926b7" ] }, { "id" : "ITEM-2", "itemData" : { "DOI" : "10.1021/acsenergylett.7b00542", "ISSN" : "2380-8195", "abstract" : "Negative capacitance in photovoltaic devices has been observed and reported in several cases, but its origin, at low or intermediate frequencies, is under debate. Here we unambiguously demonstrate a direct correlation between the observation of this capacitance and a corresponding decrease in performance of a halide perovskite (HaP; CsPbBr3)-based device, expressed as reduction of open-circuit voltage and fill factor. We have prepared highly stable CsPbBr3 HaPs that do not exhibit any degradation over the duration of the impedance spectroscopy measurements, ruling out degradation as the origin of the observed phenomena. Reconstruction of current\u2013voltage curves from the impedance spectroscopy provided further evidence of the deleterious role of negative capacitance on photoconversion performance.", "author" : [ { "dropping-particle" : "", "family" : "Fabregat-Santiago", "given" : "Francisco", "non-dropping-particle" : "", "parse-names" : false, "suffix" : "" }, { "dropping-particle" : "", "family" : "Kulbak", "given" : "Michael", "non-dropping-particle" : "", "parse-names" : false, "suffix" : "" }, { "dropping-particle" : "", "family" : "Zohar", "given" : "Arava", "non-dropping-particle" : "", "parse-names" : false, "suffix" : "" }, { "dropping-particle" : "", "family" : "Vall\u00e9s-Pelarda", "given" : "Marta", "non-dropping-particle" : "", "parse-names" : false, "suffix" : "" }, { "dropping-particle" : "", "family" : "Hodes", "given" : "Gary", "non-dropping-particle" : "", "parse-names" : false, "suffix" : "" }, { "dropping-particle" : "", "family" : "Cahen", "given" : "David", "non-dropping-particle" : "", "parse-names" : false, "suffix" : "" }, { "dropping-particle" : "", "family" : "Mora-Ser\u00f3", "given" : "Iv\u00e1n", "non-dropping-particle" : "", "parse-names" : false, "suffix" : "" } ], "container-title" : "ACS Energy Letters", "id" : "ITEM-2", "issue" : "9", "issued" : { "date-parts" : [ [ "2017", "9", "8" ] ] }, "note" : "doi: 10.1021/acsenergylett.7b00542", "page" : "2007-2013", "publisher" : "American Chemical Society", "title" : "Deleterious Effect of Negative Capacitance on the Performance of Halide Perovskite Solar Cells", "type" : "article-journal", "volume" : "2" }, "uris" : [ "http://www.mendeley.com/documents/?uuid=007bcb9f-dab0-46aa-95f2-124b8443e5e7" ] } ], "mendeley" : { "formattedCitation" : "&lt;sup&gt;24,25&lt;/sup&gt;", "plainTextFormattedCitation" : "24,25", "previouslyFormattedCitation" : "&lt;sup&gt;24,25&lt;/sup&gt;" }, "properties" : {  }, "schema" : "https://github.com/citation-style-language/schema/raw/master/csl-citation.json" }</w:instrText>
      </w:r>
      <w:r w:rsidR="0099656C" w:rsidRPr="001B5503">
        <w:fldChar w:fldCharType="separate"/>
      </w:r>
      <w:r w:rsidR="00D67546" w:rsidRPr="00D67546">
        <w:rPr>
          <w:noProof/>
          <w:vertAlign w:val="superscript"/>
        </w:rPr>
        <w:t>24,25</w:t>
      </w:r>
      <w:r w:rsidR="0099656C" w:rsidRPr="001B5503">
        <w:fldChar w:fldCharType="end"/>
      </w:r>
      <w:r w:rsidR="00683DEE">
        <w:t xml:space="preserve"> </w:t>
      </w:r>
      <w:r w:rsidR="00B0222C" w:rsidRPr="001B5503">
        <w:t>However</w:t>
      </w:r>
      <w:r w:rsidR="005E6201" w:rsidRPr="001B5503">
        <w:t xml:space="preserve">, </w:t>
      </w:r>
      <w:r w:rsidR="003517FD" w:rsidRPr="001B5503">
        <w:t>caesium</w:t>
      </w:r>
      <w:r w:rsidR="00683DEE">
        <w:t xml:space="preserve"> </w:t>
      </w:r>
      <w:r w:rsidR="00B0222C" w:rsidRPr="001B5503">
        <w:t xml:space="preserve">iodine perovskites </w:t>
      </w:r>
      <w:r w:rsidR="007D65C7" w:rsidRPr="001B5503">
        <w:t>forming CsPbI</w:t>
      </w:r>
      <w:r w:rsidR="007D65C7" w:rsidRPr="001B5503">
        <w:rPr>
          <w:vertAlign w:val="subscript"/>
        </w:rPr>
        <w:t>3</w:t>
      </w:r>
      <w:r w:rsidR="00B0222C" w:rsidRPr="001B5503">
        <w:t xml:space="preserve"> could p</w:t>
      </w:r>
      <w:r w:rsidR="007D65C7" w:rsidRPr="001B5503">
        <w:t>rovide a band gap of 1.73</w:t>
      </w:r>
      <w:r w:rsidR="005E6201" w:rsidRPr="001B5503">
        <w:t xml:space="preserve"> e</w:t>
      </w:r>
      <w:r w:rsidR="007D65C7" w:rsidRPr="001B5503">
        <w:t xml:space="preserve">V, which is relatively close to the aforementioned theoretical optimum, </w:t>
      </w:r>
      <w:r w:rsidR="00D3348E" w:rsidRPr="001B5503">
        <w:t>but it</w:t>
      </w:r>
      <w:r w:rsidR="005E6201" w:rsidRPr="001B5503">
        <w:t xml:space="preserve">s </w:t>
      </w:r>
      <w:r w:rsidR="000B4699" w:rsidRPr="001B5503">
        <w:t xml:space="preserve">bulk </w:t>
      </w:r>
      <w:r w:rsidR="005E6201" w:rsidRPr="001B5503">
        <w:t>perovskite phase is solely stable at temperatures above 300 ºC</w:t>
      </w:r>
      <w:r w:rsidR="00C31C3B" w:rsidRPr="001B5503">
        <w:t>.</w:t>
      </w:r>
      <w:r w:rsidR="0099656C" w:rsidRPr="001B5503">
        <w:fldChar w:fldCharType="begin" w:fldLock="1"/>
      </w:r>
      <w:r w:rsidR="00D67546">
        <w:instrText>ADDIN CSL_CITATION { "citationItems" : [ { "id" : "ITEM-1", "itemData" : { "DOI" : "10.1038/1821436a0", "ISBN" : "0028-0836", "ISSN" : "0028-0836", "abstract" : "WELLS1 and his collaborators have shown that crystals of the general compositions CsPbX3 with X Combining double low line Cl, Br or I, and Cs4PbX6 with X Combining double low line Cl or Br, may be prepared from aqueous solutions. I have investigated the structures of these crystals and also prepared a few more. I have found2 that CsPbCl3 and CsPbBr3 have the perovskite structure. At room temperature they are tetragonally or monoclinically distorted. Both of them, however, show transition to pure cubic perovskite structure, at 47\u00b0C. and 130\u00b0C. respectively and with cell dimensions a Combining double low line 5.605 A. for CsPbCl3, a Combining double low line 5.874 A. for CsPbBr3. Whereas no extra or forbidden X-ray reflexions can be observed above these transition temperatures, CsPbBr3 below 130\u00b0C. - and presumably also CsPbCl3 below 47\u00b0C. - exhibit a new structure corresponding to a doubling of the cell dimensions. The transitions are likely to be of second order as \u0394V Combining double low line 0 within the limits of accuracy of my measurements. \u00a9 1958 Nature Publishing Group.", "author" : [ { "dropping-particle" : "", "family" : "M\u00d8LLER", "given" : "CHR. KN.", "non-dropping-particle" : "", "parse-names" : false, "suffix" : "" } ], "container-title" : "Nature", "id" : "ITEM-1", "issue" : "4647", "issued" : { "date-parts" : [ [ "1958", "11", "22" ] ] }, "page" : "1436-1436", "title" : "Crystal Structure and Photoconductivity of C\u00e6sium Plumbohalides", "type" : "article-journal", "volume" : "182" }, "uris" : [ "http://www.mendeley.com/documents/?uuid=ed780904-2731-3b58-b607-183c777d2d1b" ] } ], "mendeley" : { "formattedCitation" : "&lt;sup&gt;26&lt;/sup&gt;", "plainTextFormattedCitation" : "26", "previouslyFormattedCitation" : "&lt;sup&gt;26&lt;/sup&gt;" }, "properties" : {  }, "schema" : "https://github.com/citation-style-language/schema/raw/master/csl-citation.json" }</w:instrText>
      </w:r>
      <w:r w:rsidR="0099656C" w:rsidRPr="001B5503">
        <w:fldChar w:fldCharType="separate"/>
      </w:r>
      <w:r w:rsidR="00D67546" w:rsidRPr="00D67546">
        <w:rPr>
          <w:noProof/>
          <w:vertAlign w:val="superscript"/>
        </w:rPr>
        <w:t>26</w:t>
      </w:r>
      <w:r w:rsidR="0099656C" w:rsidRPr="001B5503">
        <w:fldChar w:fldCharType="end"/>
      </w:r>
    </w:p>
    <w:p w14:paraId="0AF5A545" w14:textId="77777777" w:rsidR="00684314" w:rsidRPr="001B5503" w:rsidRDefault="00456850" w:rsidP="00D93CB6">
      <w:r w:rsidRPr="001B5503">
        <w:t>App</w:t>
      </w:r>
      <w:r w:rsidR="00931222" w:rsidRPr="001B5503">
        <w:t>arently,</w:t>
      </w:r>
      <w:r w:rsidRPr="001B5503">
        <w:t xml:space="preserve"> c</w:t>
      </w:r>
      <w:r w:rsidR="00931222" w:rsidRPr="001B5503">
        <w:t>ombining</w:t>
      </w:r>
      <w:r w:rsidR="00683DEE">
        <w:t xml:space="preserve"> </w:t>
      </w:r>
      <w:r w:rsidR="00931222" w:rsidRPr="001B5503">
        <w:t xml:space="preserve">MA and FA </w:t>
      </w:r>
      <w:r w:rsidRPr="001B5503">
        <w:t xml:space="preserve">cations </w:t>
      </w:r>
      <w:r w:rsidR="00931222" w:rsidRPr="001B5503">
        <w:t xml:space="preserve">also </w:t>
      </w:r>
      <w:r w:rsidRPr="001B5503">
        <w:t>combines the</w:t>
      </w:r>
      <w:r w:rsidR="00931222" w:rsidRPr="001B5503">
        <w:t>ir</w:t>
      </w:r>
      <w:r w:rsidRPr="001B5503">
        <w:t xml:space="preserve"> advantages while avoids their disadvantages. </w:t>
      </w:r>
      <w:r w:rsidR="00931222" w:rsidRPr="001B5503">
        <w:t>Nevertheless</w:t>
      </w:r>
      <w:r w:rsidRPr="001B5503">
        <w:t xml:space="preserve">, </w:t>
      </w:r>
      <w:r w:rsidR="00931222" w:rsidRPr="001B5503">
        <w:t>a PSC</w:t>
      </w:r>
      <w:r w:rsidRPr="001B5503">
        <w:t xml:space="preserve"> with FA and </w:t>
      </w:r>
      <w:r w:rsidR="000B4699" w:rsidRPr="001B5503">
        <w:t>Cs</w:t>
      </w:r>
      <w:r w:rsidRPr="001B5503">
        <w:t xml:space="preserve"> has been </w:t>
      </w:r>
      <w:r w:rsidR="00931222" w:rsidRPr="001B5503">
        <w:t>reported with enhanced thermal and humidity stability</w:t>
      </w:r>
      <w:r w:rsidR="00666E25" w:rsidRPr="001B5503">
        <w:t>.</w:t>
      </w:r>
      <w:r w:rsidR="0099656C" w:rsidRPr="001B5503">
        <w:fldChar w:fldCharType="begin" w:fldLock="1"/>
      </w:r>
      <w:r w:rsidR="00D67546">
        <w:instrText>ADDIN CSL_CITATION { "citationItems" : [ { "id" : "ITEM-1", "itemData" : { "DOI" : "10.1002/aenm.201501310", "ISBN" : "1614-6840", "ISSN" : "16146832", "abstract" : "Although power conversion efficiency (PCE) of state-of-the-art perovskite solar cells has already exceeded 20%, photo- and/or moisture instability of organolead halide perovskite have prevented further commercialization. In particular, the underlying weak interaction of organic cations with surrounding iodides due to eight equivalent orientations of the organic cation along the body diagonals in unit cell and chemically non-inertness of organic cation result in photo- and moisture instability of organometal halide perovskite. Here, a perovskite light absorber incorporating organic\u2013inorganic hybrid cation in the A-site of 3D APbI3 structure with enhanced photo- and moisture stability is reported. A partial substitution of Cs+ for HC(NH2)2+ in HC(NH2)2PbI3 perovskite is found to substantially improve photo- and moisture stability along with photovoltaic performance. When 10% of HC(NH2)2+ is replaced by Cs+, photo- and moisture stability of perovskite film are significantly improved, which is attributed to the enhanced interaction between HC(NH2)2+ and iodide due to contraction of cubo-octahedral volume. Moreover, trap density is reduced by one order of magnitude upon incorporation of Cs+, which is responsible for the increased open-circuit voltage and fill factor, eventually leading to enhancement of average PCE from 14.9% to 16.5%.", "author" : [ { "dropping-particle" : "", "family" : "Lee", "given" : "Jin-Wook", "non-dropping-particle" : "", "parse-names" : false, "suffix" : "" }, { "dropping-particle" : "", "family" : "Kim", "given" : "Deok-Hwan", "non-dropping-particle" : "", "parse-names" : false, "suffix" : "" }, { "dropping-particle" : "", "family" : "Kim", "given" : "Hui-Seon", "non-dropping-particle" : "", "parse-names" : false, "suffix" : "" }, { "dropping-particle" : "", "family" : "Seo", "given" : "Seung-Woo", "non-dropping-particle" : "", "parse-names" : false, "suffix" : "" }, { "dropping-particle" : "", "family" : "Cho", "given" : "Sung Min", "non-dropping-particle" : "", "parse-names" : false, "suffix" : "" }, { "dropping-particle" : "", "family" : "Park", "given" : "Nam-Gyu", "non-dropping-particle" : "", "parse-names" : false, "suffix" : "" } ], "container-title" : "Advanced Energy Materials", "id" : "ITEM-1", "issue" : "20", "issued" : { "date-parts" : [ [ "2015", "10" ] ] }, "page" : "1501310", "title" : "Formamidinium and Cesium Hybridization for Photo- and Moisture-Stable Perovskite Solar Cell", "type" : "article-journal", "volume" : "5" }, "uris" : [ "http://www.mendeley.com/documents/?uuid=4de9d5b5-1593-3915-aef9-146519362ce9" ] } ], "mendeley" : { "formattedCitation" : "&lt;sup&gt;27&lt;/sup&gt;", "plainTextFormattedCitation" : "27", "previouslyFormattedCitation" : "&lt;sup&gt;27&lt;/sup&gt;" }, "properties" : {  }, "schema" : "https://github.com/citation-style-language/schema/raw/master/csl-citation.json" }</w:instrText>
      </w:r>
      <w:r w:rsidR="0099656C" w:rsidRPr="001B5503">
        <w:fldChar w:fldCharType="separate"/>
      </w:r>
      <w:r w:rsidR="00D67546" w:rsidRPr="00D67546">
        <w:rPr>
          <w:noProof/>
          <w:vertAlign w:val="superscript"/>
        </w:rPr>
        <w:t>27</w:t>
      </w:r>
      <w:r w:rsidR="0099656C" w:rsidRPr="001B5503">
        <w:fldChar w:fldCharType="end"/>
      </w:r>
      <w:r w:rsidR="00683DEE">
        <w:t xml:space="preserve"> </w:t>
      </w:r>
      <w:r w:rsidR="003517FD" w:rsidRPr="001B5503">
        <w:t>C</w:t>
      </w:r>
      <w:r w:rsidR="000B4699" w:rsidRPr="001B5503">
        <w:t>s a</w:t>
      </w:r>
      <w:r w:rsidR="003D3B55" w:rsidRPr="001B5503">
        <w:t xml:space="preserve">ssists the crystallisation of FA faster </w:t>
      </w:r>
      <w:r w:rsidR="00A5420D" w:rsidRPr="001B5503">
        <w:t xml:space="preserve">and more effectively </w:t>
      </w:r>
      <w:r w:rsidR="003D3B55" w:rsidRPr="001B5503">
        <w:t>than MA does, due to a superior size difference</w:t>
      </w:r>
      <w:r w:rsidR="00666E25" w:rsidRPr="001B5503">
        <w:t>.</w:t>
      </w:r>
      <w:r w:rsidR="0099656C" w:rsidRPr="001B5503">
        <w:fldChar w:fldCharType="begin" w:fldLock="1"/>
      </w:r>
      <w:r w:rsidR="0020768A" w:rsidRPr="001B5503">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99656C" w:rsidRPr="001B5503">
        <w:fldChar w:fldCharType="separate"/>
      </w:r>
      <w:r w:rsidR="009E3660" w:rsidRPr="001B5503">
        <w:rPr>
          <w:noProof/>
          <w:vertAlign w:val="superscript"/>
        </w:rPr>
        <w:t>15</w:t>
      </w:r>
      <w:r w:rsidR="0099656C" w:rsidRPr="001B5503">
        <w:fldChar w:fldCharType="end"/>
      </w:r>
      <w:r w:rsidR="00102D4E" w:rsidRPr="001B5503">
        <w:t xml:space="preserve"> Although </w:t>
      </w:r>
      <w:r w:rsidR="000B4699" w:rsidRPr="001B5503">
        <w:t>Cs</w:t>
      </w:r>
      <w:r w:rsidR="00102D4E" w:rsidRPr="001B5503">
        <w:t xml:space="preserve"> may be deemed a </w:t>
      </w:r>
      <w:r w:rsidR="001E51E0" w:rsidRPr="001B5503">
        <w:t>low abundant</w:t>
      </w:r>
      <w:r w:rsidR="00102D4E" w:rsidRPr="001B5503">
        <w:t xml:space="preserve"> </w:t>
      </w:r>
      <w:r w:rsidR="00102D4E" w:rsidRPr="001B5503">
        <w:lastRenderedPageBreak/>
        <w:t xml:space="preserve">element, its presence on earth </w:t>
      </w:r>
      <w:r w:rsidR="00CB0CD5" w:rsidRPr="001B5503">
        <w:t xml:space="preserve">crust is </w:t>
      </w:r>
      <w:r w:rsidR="00081F28" w:rsidRPr="001B5503">
        <w:t>comparable</w:t>
      </w:r>
      <w:r w:rsidR="00CB0CD5" w:rsidRPr="001B5503">
        <w:t xml:space="preserve"> t</w:t>
      </w:r>
      <w:r w:rsidR="00081F28" w:rsidRPr="001B5503">
        <w:t>o</w:t>
      </w:r>
      <w:r w:rsidR="00CB0CD5" w:rsidRPr="001B5503">
        <w:t xml:space="preserve"> other </w:t>
      </w:r>
      <w:r w:rsidR="00081F28" w:rsidRPr="001B5503">
        <w:t xml:space="preserve">large-scale </w:t>
      </w:r>
      <w:r w:rsidR="009766A5" w:rsidRPr="001B5503">
        <w:t>produc</w:t>
      </w:r>
      <w:r w:rsidR="00102D4E" w:rsidRPr="001B5503">
        <w:t>ed</w:t>
      </w:r>
      <w:r w:rsidR="00D3538B" w:rsidRPr="001B5503">
        <w:t xml:space="preserve"> elements</w:t>
      </w:r>
      <w:r w:rsidR="00CB0CD5" w:rsidRPr="001B5503">
        <w:t xml:space="preserve"> like </w:t>
      </w:r>
      <w:r w:rsidR="00683DEE">
        <w:t>Sn</w:t>
      </w:r>
      <w:r w:rsidR="00666E25" w:rsidRPr="001B5503">
        <w:t>,</w:t>
      </w:r>
      <w:r w:rsidR="0099656C" w:rsidRPr="001B5503">
        <w:fldChar w:fldCharType="begin" w:fldLock="1"/>
      </w:r>
      <w:r w:rsidR="00D67546">
        <w:instrText>ADDIN CSL_CITATION { "citationItems" : [ { "id" : "ITEM-1", "itemData" : { "DOI" : "10.1021/acs.jpclett.5b00968", "ISBN" : "1948-7185", "ISSN" : "1948-7185", "PMID" : "26266718", "abstract" : "Hybrid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cells.\\nHybrid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 "author" : [ { "dropping-particle" : "", "family" : "Kulbak", "given" : "Michael", "non-dropping-particle" : "", "parse-names" : false, "suffix" : "" }, { "dropping-particle" : "", "family" : "Cahen", "given" : "David", "non-dropping-particle" : "", "parse-names" : false, "suffix" : "" }, { "dropping-particle" : "", "family" : "Hodes", "given" : "Gary", "non-dropping-particle" : "", "parse-names" : false, "suffix" : "" } ], "container-title" : "The Journal of Physical Chemistry Letters", "id" : "ITEM-1", "issue" : "13", "issued" : { "date-parts" : [ [ "2015", "7", "2" ] ] }, "page" : "2452-2456", "title" : "How Important Is the Organic Part of Lead Halide Perovskite Photovoltaic Cells? Efficient CsPbBr 3 Cells", "type" : "article-journal", "volume" : "6" }, "uris" : [ "http://www.mendeley.com/documents/?uuid=1540697b-025a-39af-88ce-4f6756a926b7" ] } ], "mendeley" : { "formattedCitation" : "&lt;sup&gt;24&lt;/sup&gt;", "plainTextFormattedCitation" : "24", "previouslyFormattedCitation" : "&lt;sup&gt;24&lt;/sup&gt;" }, "properties" : {  }, "schema" : "https://github.com/citation-style-language/schema/raw/master/csl-citation.json" }</w:instrText>
      </w:r>
      <w:r w:rsidR="0099656C" w:rsidRPr="001B5503">
        <w:fldChar w:fldCharType="separate"/>
      </w:r>
      <w:r w:rsidR="00D67546" w:rsidRPr="00D67546">
        <w:rPr>
          <w:noProof/>
          <w:vertAlign w:val="superscript"/>
        </w:rPr>
        <w:t>24</w:t>
      </w:r>
      <w:r w:rsidR="0099656C" w:rsidRPr="001B5503">
        <w:fldChar w:fldCharType="end"/>
      </w:r>
      <w:r w:rsidR="00CB0CD5" w:rsidRPr="001B5503">
        <w:t xml:space="preserve"> thus demonstrating that usage of </w:t>
      </w:r>
      <w:r w:rsidR="00F65FFF" w:rsidRPr="001B5503">
        <w:t>Cs</w:t>
      </w:r>
      <w:r w:rsidR="00CB0CD5" w:rsidRPr="001B5503">
        <w:t xml:space="preserve"> is feasible.</w:t>
      </w:r>
      <w:r w:rsidR="00683DEE">
        <w:t xml:space="preserve"> </w:t>
      </w:r>
      <w:r w:rsidR="00B76209" w:rsidRPr="001B5503">
        <w:t>Indeed</w:t>
      </w:r>
      <w:r w:rsidR="003D4775" w:rsidRPr="001B5503">
        <w:t>,</w:t>
      </w:r>
      <w:r w:rsidR="00B76209" w:rsidRPr="001B5503">
        <w:t xml:space="preserve"> the </w:t>
      </w:r>
      <w:r w:rsidR="009F37F1" w:rsidRPr="001B5503">
        <w:t xml:space="preserve">sufficient </w:t>
      </w:r>
      <w:r w:rsidR="00B76209" w:rsidRPr="001B5503">
        <w:t xml:space="preserve">abundance in Earth’s crust of </w:t>
      </w:r>
      <w:r w:rsidR="00F65FFF" w:rsidRPr="001B5503">
        <w:t>Cs</w:t>
      </w:r>
      <w:r w:rsidR="00B76209" w:rsidRPr="001B5503">
        <w:t xml:space="preserve"> compared with the rest of the elements is illustrated in the chart elaborated by </w:t>
      </w:r>
      <w:r w:rsidR="003D4775" w:rsidRPr="001B5503">
        <w:t>the U.S. Geological Survey</w:t>
      </w:r>
      <w:r w:rsidR="00666E25" w:rsidRPr="001B5503">
        <w:t>.</w:t>
      </w:r>
      <w:r w:rsidR="0099656C" w:rsidRPr="001B5503">
        <w:fldChar w:fldCharType="begin" w:fldLock="1"/>
      </w:r>
      <w:r w:rsidR="00D67546">
        <w:instrText>ADDIN CSL_CITATION { "citationItems" : [ { "id" : "ITEM-1", "itemData" : { "ISBN" : "087-02", "abstract" : "High-technology and environmental applications of the rare earth elements (REE) have grown dramatically in diversity and importance over the past four decades. As many of these applications are highly specific, in that substitutes for the REE are inferior or unknown, the REE have acquired a level of technological significance much greater than expected from their relative obscurity. Although actually more abundant than many familiar industrial metals, the REE have much less tendency to become concentrated in exploitable ore deposits. Consequently, most of the world\u2019s supply comes from only a few sources. The United States once was largely self-sufficient in REE, but in the past decade has become dependent upon imports from China.", "author" : [ { "dropping-particle" : "", "family" : "Haxel", "given" : "Gordon B", "non-dropping-particle" : "", "parse-names" : false, "suffix" : "" }, { "dropping-particle" : "", "family" : "Hedrick", "given" : "James B", "non-dropping-particle" : "", "parse-names" : false, "suffix" : "" }, { "dropping-particle" : "", "family" : "Orris", "given" : "Greta J", "non-dropping-particle" : "", "parse-names" : false, "suffix" : "" }, { "dropping-particle" : "", "family" : "Stauffer", "given" : "Peter H", "non-dropping-particle" : "", "parse-names" : false, "suffix" : "" }, { "dropping-particle" : "", "family" : "Hendley II", "given" : "James W", "non-dropping-particle" : "", "parse-names" : false, "suffix" : "" } ], "container-title" : "Fact Sheet", "id" : "ITEM-1", "issued" : { "date-parts" : [ [ "2002" ] ] }, "language" : "ENGLISH", "number-of-pages" : "1-4", "title" : "Rare earth elements: critical resources for high technology", "type" : "report" }, "uris" : [ "http://www.mendeley.com/documents/?uuid=33fe9332-f0de-4205-9df7-17c010ddef6c" ] } ], "mendeley" : { "formattedCitation" : "&lt;sup&gt;28&lt;/sup&gt;", "plainTextFormattedCitation" : "28", "previouslyFormattedCitation" : "&lt;sup&gt;28&lt;/sup&gt;" }, "properties" : {  }, "schema" : "https://github.com/citation-style-language/schema/raw/master/csl-citation.json" }</w:instrText>
      </w:r>
      <w:r w:rsidR="0099656C" w:rsidRPr="001B5503">
        <w:fldChar w:fldCharType="separate"/>
      </w:r>
      <w:r w:rsidR="00D67546" w:rsidRPr="00D67546">
        <w:rPr>
          <w:noProof/>
          <w:vertAlign w:val="superscript"/>
        </w:rPr>
        <w:t>28</w:t>
      </w:r>
      <w:r w:rsidR="0099656C" w:rsidRPr="001B5503">
        <w:fldChar w:fldCharType="end"/>
      </w:r>
      <w:r w:rsidR="00683DEE">
        <w:t xml:space="preserve"> </w:t>
      </w:r>
      <w:r w:rsidR="00332DC9" w:rsidRPr="001B5503">
        <w:t>Furthermore,</w:t>
      </w:r>
      <w:r w:rsidR="00F65FFF" w:rsidRPr="001B5503">
        <w:t xml:space="preserve"> Cs </w:t>
      </w:r>
      <w:r w:rsidR="006A7F45" w:rsidRPr="001B5503">
        <w:t>concentration in the Earth’s crust</w:t>
      </w:r>
      <w:r w:rsidR="00683DEE">
        <w:t xml:space="preserve"> </w:t>
      </w:r>
      <w:r w:rsidR="00332DC9" w:rsidRPr="001B5503">
        <w:t xml:space="preserve">is signally larger than that of </w:t>
      </w:r>
      <w:r w:rsidR="006A7F45" w:rsidRPr="001B5503">
        <w:t>other elements</w:t>
      </w:r>
      <w:r w:rsidR="00332DC9" w:rsidRPr="001B5503">
        <w:t xml:space="preserve"> already used in photovoltaics,</w:t>
      </w:r>
      <w:r w:rsidR="006A7F45" w:rsidRPr="001B5503">
        <w:t xml:space="preserve"> namely cadmium, tellurium, selenium or indium</w:t>
      </w:r>
      <w:r w:rsidR="00981B9B" w:rsidRPr="001B5503">
        <w:t>.</w:t>
      </w:r>
    </w:p>
    <w:p w14:paraId="0CD211F3" w14:textId="77777777" w:rsidR="001A7731" w:rsidRPr="001B5503" w:rsidRDefault="00847DD1" w:rsidP="00D93CB6">
      <w:r w:rsidRPr="001B5503">
        <w:t>Environmental analyse</w:t>
      </w:r>
      <w:r w:rsidR="00472560" w:rsidRPr="001B5503">
        <w:t xml:space="preserve">s of PSCs </w:t>
      </w:r>
      <w:r w:rsidR="00296DC3" w:rsidRPr="001B5503">
        <w:t xml:space="preserve">via life cycle assessment (LCA) methodology </w:t>
      </w:r>
      <w:r w:rsidR="00472560" w:rsidRPr="001B5503">
        <w:t xml:space="preserve">have been </w:t>
      </w:r>
      <w:r w:rsidR="0096615F" w:rsidRPr="001B5503">
        <w:t>reported</w:t>
      </w:r>
      <w:r w:rsidR="00472560" w:rsidRPr="001B5503">
        <w:t xml:space="preserve"> to ensure an environmentally safe</w:t>
      </w:r>
      <w:r w:rsidR="00296DC3" w:rsidRPr="001B5503">
        <w:t>r</w:t>
      </w:r>
      <w:r w:rsidR="00683DEE">
        <w:t xml:space="preserve"> </w:t>
      </w:r>
      <w:r w:rsidR="00296DC3" w:rsidRPr="001B5503">
        <w:t xml:space="preserve">PSCs </w:t>
      </w:r>
      <w:r w:rsidR="00472560" w:rsidRPr="001B5503">
        <w:t xml:space="preserve">development and </w:t>
      </w:r>
      <w:r w:rsidR="0096615F" w:rsidRPr="001B5503">
        <w:t>assist PSCs technology</w:t>
      </w:r>
      <w:r w:rsidR="00472560" w:rsidRPr="001B5503">
        <w:t xml:space="preserve"> grow</w:t>
      </w:r>
      <w:r w:rsidR="0096615F" w:rsidRPr="001B5503">
        <w:t>th</w:t>
      </w:r>
      <w:r w:rsidR="00683DEE">
        <w:t xml:space="preserve"> </w:t>
      </w:r>
      <w:r w:rsidR="00AF63A6" w:rsidRPr="001B5503">
        <w:t xml:space="preserve">while </w:t>
      </w:r>
      <w:r w:rsidR="00472560" w:rsidRPr="001B5503">
        <w:t>respecting the environment</w:t>
      </w:r>
      <w:r w:rsidR="00666E25" w:rsidRPr="001B5503">
        <w:t>.</w:t>
      </w:r>
      <w:r w:rsidR="0099656C" w:rsidRPr="001B5503">
        <w:fldChar w:fldCharType="begin" w:fldLock="1"/>
      </w:r>
      <w:r w:rsidR="00D67546">
        <w:instrText>ADDIN CSL_CITATION { "citationItems" : [ { "id" : "ITEM-1", "itemData" : { "DOI" : "10.1016/j.solmat.2015.02.013", "ISSN" : "09270248", "abstract" : "We present a life cycle analysis (LCA) and an environmental impact analysis (EIA) of lead based perovskite solar cells prepared according to the two most successfully reported literature methods that comprise either vapour phase deposition or solution phase deposition. We have developed the inventory for all the components employed for the two different device architectures that resemble respectively a traditional dye sensitised solar cell (DSSC) and an inverted polymer solar cell (OPV). We analyse the impacts from generation of 1 kWh of electricity and assume a lifetime of 1 year in the analysis and further present a sensitivity analysis with the operational lifetime as a basis. We find that the major impact comes from the preparation of the perovskite absorber layer due to the electrical energy required in the manufacture and also make the striking observation that the impact of toxic lead(II)halides is very limited compared to methylammoniumhalides employed. This applies during the raw materials extraction, synthesis of the starting materials and manufacture of the perovskite solar cells and from these points of view the lead based perovskite solar cells do not pose extra concerns when compared to contending solar cell technologies in the cradle-to-gate scenario considered here. The environmental impact of the perovskite solar cells in the operational phase and the decommissioning phase representing a cradle-to-grave analysis is not currently possible and will have to await large scale outdoor demonstration where emission to the environment during the operation and decommissioning phase can be measured. The main conclusion is that in the cradle-to-gate analysis there are no compelling reasons to dismiss lead based perovskites as a solar cell technology.", "author" : [ { "dropping-particle" : "", "family" : "Espinosa", "given" : "Nieves", "non-dropping-particle" : "", "parse-names" : false, "suffix" : "" }, { "dropping-particle" : "", "family" : "Serrano-Luj\u00e1n", "given" : "Luc\u00eda", "non-dropping-particle" : "", "parse-names" : false, "suffix" : "" }, { "dropping-particle" : "", "family" : "Urbina", "given" : "Antonio", "non-dropping-particle" : "", "parse-names" : false, "suffix" : "" }, { "dropping-particle" : "", "family" : "Krebs", "given" : "Frederik C", "non-dropping-particle" : "", "parse-names" : false, "suffix" : "" } ], "container-title" : "Solar Energy Materials and Solar Cells", "id" : "ITEM-1", "issued" : { "date-parts" : [ [ "2015", "6" ] ] }, "note" : "ACV completo de dos tipos diferentes de c\u00e9lulas solares basadas en Perovskita. Cada c\u00e9lula est\u00e1 conformada con un m\u00e9todo diferente y se han empleado diferentes materiales para las diferentes capas, exceptuando la capa de Perovskita.", "page" : "303-310", "publisher" : "Elsevier", "title" : "Solution and vapour deposited lead perovskite solar cells: Ecotoxicity from a life cycle assessment perspective", "type" : "article-journal", "volume" : "137" }, "uris" : [ "http://www.mendeley.com/documents/?uuid=498f7ef0-4598-46a0-b211-f67b23abcb8a" ] }, { "id" : "ITEM-2", "itemData" : { "DOI" : "10.1039/C5EE00615E", "ISSN" : "1754-5692", "abstract" : "Life cycle assessment of perovskite photovoltaics provides comprehensive insights into diverse environmental impacts and possible improvements in manufacturing sustainable devices.", "author" : [ { "dropping-particle" : "", "family" : "Gong", "given" : "Jian", "non-dropping-particle" : "", "parse-names" : false, "suffix" : "" }, { "dropping-particle" : "", "family" : "Darling", "given" : "Seth B.", "non-dropping-particle" : "", "parse-names" : false, "suffix" : "" }, { "dropping-particle" : "", "family" : "You", "given" : "Fengqi", "non-dropping-particle" : "", "parse-names" : false, "suffix" : "" } ], "container-title" : "Energy Environ. Sci.", "id" : "ITEM-2", "issue" : "7", "issued" : { "date-parts" : [ [ "2015" ] ] }, "page" : "1953-1968", "publisher" : "Royal Society of Chemistry", "title" : "Perovskite photovoltaics: life-cycle assessment of energy and environmental impacts", "type" : "article-journal", "volume" : "8" }, "uris" : [ "http://www.mendeley.com/documents/?uuid=bb95e23f-f79f-4322-ad8f-e5cc8f9370c9" ] }, { "id" : "ITEM-3", "itemData" : { "DOI" : "10.1002/cssc.201500848", "ISSN" : "18645631", "PMID" : "26489525", "abstract" : "Perovskite solar cells have attracted enormous attention in recent years due to their low cost and superior technical performance. However, the use of toxic metals, such as lead, in the perovskite dye and toxic chemicals in perovskite solar cell manufacturing causes grave concerns for its environmental performance. To understand and facilitate the sustainable development of perovskite solar cell technology from its design to manufacturing, a comprehensive environmental impact assessment has been conducted on titanium dioxide nanotube based perovskite solar cells by using an attributional life cycle assessment approach, from cradle to gate, with manufacturing data from our laboratory-scale experiments and upstream data collected from professional databases and the literature. The results indicate that the perovskite dye is the primary source of environmental impact, associated with 64.77 % total embodied energy and 31.38 % embodied materials consumption, contributing to more than 50 % of the life cycle impact in almost all impact categories, although lead used in the perovskite dye only contributes to about 1.14 % of the human toxicity potential. A comparison of perovskite solar cells with commercial silicon and cadmium-tellurium solar cells reveals that perovskite solar cells could be a promising alternative technology for future large-scale industrial applications.", "author" : [ { "dropping-particle" : "", "family" : "Zhang", "given" : "Jingyi", "non-dropping-particle" : "", "parse-names" : false, "suffix" : "" }, { "dropping-particle" : "", "family" : "Gao", "given" : "Xianfeng", "non-dropping-particle" : "", "parse-names" : false, "suffix" : "" }, { "dropping-particle" : "", "family" : "Deng", "given" : "Yelin", "non-dropping-particle" : "", "parse-names" : false, "suffix" : "" }, { "dropping-particle" : "", "family" : "Li", "given" : "Bingbing", "non-dropping-particle" : "", "parse-names" : false, "suffix" : "" }, { "dropping-particle" : "", "family" : "Yuan", "given" : "Chris", "non-dropping-particle" : "", "parse-names" : false, "suffix" : "" } ], "container-title" : "ChemSusChem", "id" : "ITEM-3", "issue" : "22", "issued" : { "date-parts" : [ [ "2015", "11" ] ] }, "page" : "3882-3891", "publisher" : "Wiley-VCH Verlag", "title" : "Life Cycle Assessment of Titania Perovskite Solar Cell Technology for Sustainable Design and Manufacturing", "type" : "article-journal", "volume" : "8" }, "uris" : [ "http://www.mendeley.com/documents/?uuid=0601ff02-c2e9-4597-8b14-343733d87464" ] }, { "id" : "ITEM-4", "itemData" : { "DOI" : "10.1002/aenm.201501119", "ISSN" : "16146832", "abstract" : "The effect of substituting lead with tin in perovskite-based solar cells (PSCs) has shows that lead is preferred over tin by a lower cumulative energy demand. The results, which also include end-of-life management, show that a recycling scenario that carefully handles emission of lead enables use of lead in PSCs with little environmental impact. All other scenarios result in catastrophic emission of lead to the environment that would spell an end to widespread use of lead in PSCs.", "author" : [ { "dropping-particle" : "", "family" : "Serrano-Lujan", "given" : "Lucia", "non-dropping-particle" : "", "parse-names" : false, "suffix" : "" }, { "dropping-particle" : "", "family" : "Espinosa", "given" : "Nieves", "non-dropping-particle" : "", "parse-names" : false, "suffix" : "" }, { "dropping-particle" : "", "family" : "Larsen-Olsen", "given" : "Thue Trofod", "non-dropping-particle" : "", "parse-names" : false, "suffix" : "" }, { "dropping-particle" : "", "family" : "Abad", "given" : "Jose", "non-dropping-particle" : "", "parse-names" : false, "suffix" : "" }, { "dropping-particle" : "", "family" : "Urbina", "given" : "Antonio", "non-dropping-particle" : "", "parse-names" : false, "suffix" : "" }, { "dropping-particle" : "", "family" : "Krebs", "given" : "Frederik C.", "non-dropping-particle" : "", "parse-names" : false, "suffix" : "" } ], "container-title" : "Advanced Energy Materials", "id" : "ITEM-4", "issue" : "20", "issued" : { "date-parts" : [ [ "2015", "10", "21" ] ] }, "page" : "1501119", "publisher" : "Wiley-VCH Verlag", "title" : "Tin- and Lead-Based Perovskite Solar Cells under Scrutiny: An Environmental Perspective", "type" : "article-journal", "volume" : "5" }, "uris" : [ "http://www.mendeley.com/documents/?uuid=f5e2eb9b-69a2-4ce1-9d7a-a94868402add" ] }, { "id" : "ITEM-5", "itemData" : { "DOI" : "10.1016/j.solmat.2016.04.037", "ISSN" : "09270248", "abstract" : "Perovskite photovoltaic cells (PVs) have attracted significant worldwide attention in the past few years. Although the stability of the power conversion is a concern, there is great potential for perovskites to enter the global PV market. To determine the future potential of perovskites, we performed a cradle-to-gate environmental life cycle (LCA) for two different perovskite device structures suitable for low cost manufacturing. Rather than examining current laboratory deposition processes like dipping and spinning, we considered spray and co-evaporation methods that are more amenable to manufacturing. A structure with an inorganic hole transport layer (HTL) was developed for both solution and vacuum based processes, and an HTL-free structure with printed with back contact was modeled for solution based deposition. The environmental impact of conventional Si PV technology was used as a reference point. The environmental impacts from manufacturing of perovskite solar cells were lower than that of mono-Si. However, environmental impacts from unit electricity generated were higher than all commercial PV technology mainly because of the shorter lifetime of perovskite solar cell. The HTL-free perovskite generally had the lowest environmental impacts among the three structures studied. Solution based methods used in perovskite deposition were observed to decrease the overall electricity consumption. Organic materials used for preparing the precursors for perovskite deposition were found to cause a high marine eutrophication impact. Surprisingly, the toxicity impacts of the lead used in the formation of the absorber layer were found to be negligible. Energy payback times were estimated as 1.0\u20131.5 years.", "author" : [ { "dropping-particle" : "", "family" : "Celik", "given" : "Ilke", "non-dropping-particle" : "", "parse-names" : false, "suffix" : "" }, { "dropping-particle" : "", "family" : "Song", "given" : "Zhaoning", "non-dropping-particle" : "", "parse-names" : false, "suffix" : "" }, { "dropping-particle" : "", "family" : "Cimaroli", "given" : "Alexander J.", "non-dropping-particle" : "", "parse-names" : false, "suffix" : "" }, { "dropping-particle" : "", "family" : "Yan", "given" : "Yanfa", "non-dropping-particle" : "", "parse-names" : false, "suffix" : "" }, { "dropping-particle" : "", "family" : "Heben", "given" : "Michael J.", "non-dropping-particle" : "", "parse-names" : false, "suffix" : "" }, { "dropping-particle" : "", "family" : "Apul", "given" : "Defne", "non-dropping-particle" : "", "parse-names" : false, "suffix" : "" } ], "container-title" : "Solar Energy Materials and Solar Cells", "id" : "ITEM-5", "issued" : { "date-parts" : [ [ "2016", "11" ] ] }, "page" : "157-169", "title" : "Life Cycle Assessment (LCA) of perovskite PV cells projected from lab to fab", "type" : "article-journal", "volume" : "156" }, "uris" : [ "http://www.mendeley.com/documents/?uuid=9d60ccbb-f614-4d0e-89c0-db0305910966" ] } ], "mendeley" : { "formattedCitation" : "&lt;sup&gt;29\u201333&lt;/sup&gt;", "plainTextFormattedCitation" : "29\u201333", "previouslyFormattedCitation" : "&lt;sup&gt;29\u201333&lt;/sup&gt;" }, "properties" : {  }, "schema" : "https://github.com/citation-style-language/schema/raw/master/csl-citation.json" }</w:instrText>
      </w:r>
      <w:r w:rsidR="0099656C" w:rsidRPr="001B5503">
        <w:fldChar w:fldCharType="separate"/>
      </w:r>
      <w:r w:rsidR="00D67546" w:rsidRPr="00D67546">
        <w:rPr>
          <w:noProof/>
          <w:vertAlign w:val="superscript"/>
        </w:rPr>
        <w:t>29–33</w:t>
      </w:r>
      <w:r w:rsidR="0099656C" w:rsidRPr="001B5503">
        <w:fldChar w:fldCharType="end"/>
      </w:r>
      <w:r w:rsidR="00683DEE">
        <w:t xml:space="preserve"> </w:t>
      </w:r>
      <w:r w:rsidR="007B6A46" w:rsidRPr="001B5503">
        <w:t>Re</w:t>
      </w:r>
      <w:r w:rsidR="00C81A9C" w:rsidRPr="001B5503">
        <w:t xml:space="preserve">cently, a comparison of PSCs </w:t>
      </w:r>
      <w:r w:rsidR="007B6A46" w:rsidRPr="001B5503">
        <w:t>with silicon sol</w:t>
      </w:r>
      <w:r w:rsidR="00365C2E" w:rsidRPr="001B5503">
        <w:t xml:space="preserve">ar cells and a tandem with both perovskite and silicon </w:t>
      </w:r>
      <w:r w:rsidR="003C4A40" w:rsidRPr="001B5503">
        <w:t>was implemented</w:t>
      </w:r>
      <w:r w:rsidR="00666E25" w:rsidRPr="001B5503">
        <w:t>.</w:t>
      </w:r>
      <w:r w:rsidR="0099656C" w:rsidRPr="001B5503">
        <w:fldChar w:fldCharType="begin" w:fldLock="1"/>
      </w:r>
      <w:r w:rsidR="00D67546">
        <w:instrText>ADDIN CSL_CITATION { "citationItems" : [ { "id" : "ITEM-1", "itemData" : { "DOI" : "10.1002/pip.2877", "ISSN" : "10627995", "abstract" : "Given the rapid progress in perovskite solar cells in recent years, perovskite/silicon (Si) tandem structure has been proposed to be a potentially cost-effective improvement on Si solar cells because of its higher efficiency at a minimal additional cost. As part of the evaluation, it is important to conduct a life cycle assessment on such technology in order to guide research efforts towards cell designs with minimum environmental impacts. Here, we carry out a life cycle assessment to assess global warming, human toxicity, freshwater eutrophication and ecotoxicity and abiotic depletion potential impacts and energy payback time associated with three perovskite/Si tandem cell structures using silver (Ag), gold (Au) and aluminium (Al) as top electrodes compared with p\u2013n junction and hetero-junction with intrinsic inverted layer Si solar cells. It was found that the replacement of the metal electrode with indium tin oxide/metal grid in the tandem cell reduces the environmental impacts significantly compared with the perovskite cell. For all the impacts assessed, we conclude that the perovskite/Si tandem using Al as top electrode has better environmental outcomes, including energy payback time, when compared with the other tandem structures studied. Use of Al in preference to noble metals for contacts, Si p\u2013n junction in preference to intrinsic inverted layer and the avoidance of 2,20,7,70-tetrakis(N,N-di-p-methoxyphenylamine)9,90-spirobifluorene (Spiro-OMeTAD) are environmentally beneficial. The key result found of this work is that the most important factor for the better environmental impacts of these tandem solar cells is the transparency and electrical conductivity of the perovskite layer after it fails.", "author" : [ { "dropping-particle" : "", "family" : "Monteiro Lunardi", "given" : "Marina", "non-dropping-particle" : "", "parse-names" : false, "suffix" : "" }, { "dropping-particle" : "", "family" : "Wing Yi Ho-Baillie", "given" : "Anita", "non-dropping-particle" : "", "parse-names" : false, "suffix" : "" }, { "dropping-particle" : "", "family" : "Alvarez-Gaitan", "given" : "Juan Pablo", "non-dropping-particle" : "", "parse-names" : false, "suffix" : "" }, { "dropping-particle" : "", "family" : "Moore", "given" : "Stephen", "non-dropping-particle" : "", "parse-names" : false, "suffix" : "" }, { "dropping-particle" : "", "family" : "Corkish", "given" : "Richard", "non-dropping-particle" : "", "parse-names" : false, "suffix" : "" } ], "container-title" : "Progress in Photovoltaics: Research and Applications", "id" : "ITEM-1", "issue" : "8", "issued" : { "date-parts" : [ [ "2017", "8" ] ] }, "page" : "679-695", "title" : "A life cycle assessment of perovskite/silicon tandem solar cells", "type" : "article-journal", "volume" : "25" }, "uris" : [ "http://www.mendeley.com/documents/?uuid=ed55e92f-4b25-4d62-8bad-3da416c9d384" ] } ], "mendeley" : { "formattedCitation" : "&lt;sup&gt;34&lt;/sup&gt;", "plainTextFormattedCitation" : "34", "previouslyFormattedCitation" : "&lt;sup&gt;34&lt;/sup&gt;" }, "properties" : {  }, "schema" : "https://github.com/citation-style-language/schema/raw/master/csl-citation.json" }</w:instrText>
      </w:r>
      <w:r w:rsidR="0099656C" w:rsidRPr="001B5503">
        <w:fldChar w:fldCharType="separate"/>
      </w:r>
      <w:r w:rsidR="00D67546" w:rsidRPr="00D67546">
        <w:rPr>
          <w:noProof/>
          <w:vertAlign w:val="superscript"/>
        </w:rPr>
        <w:t>34</w:t>
      </w:r>
      <w:r w:rsidR="0099656C" w:rsidRPr="001B5503">
        <w:fldChar w:fldCharType="end"/>
      </w:r>
      <w:r w:rsidR="00461AE7" w:rsidRPr="001B5503">
        <w:t xml:space="preserve"> Furthermore, </w:t>
      </w:r>
      <w:r w:rsidR="00491CBD" w:rsidRPr="001B5503">
        <w:t xml:space="preserve">the four most common methods to produce PSCs were environmentally revised </w:t>
      </w:r>
      <w:r w:rsidR="00F65FFF" w:rsidRPr="001B5503">
        <w:t>by us</w:t>
      </w:r>
      <w:r w:rsidR="00D50AEB" w:rsidRPr="001B5503">
        <w:t>.</w:t>
      </w:r>
      <w:r w:rsidR="0099656C" w:rsidRPr="001B5503">
        <w:fldChar w:fldCharType="begin" w:fldLock="1"/>
      </w:r>
      <w:r w:rsidR="00D67546">
        <w:instrText>ADDIN CSL_CITATION { "citationItems" : [ { "id" : "ITEM-1", "itemData" : { "DOI" : "10.1016/j.solmat.2017.11.008", "ISSN" : "09270248", "abstract" : "Abstract The environmental performance of four different device assembly procedures based on hybrid halide perovskite solar cell (PSC) were assessed from cradle to grave using life cycle assessment (LCA) methodology. In addition, a new environmental indicator was defined to measure the time evolution of an impact category, specifically in this case, human toxicity cancer payback time. PSCs procedures accounted for the probably three more used basic recipes for laboratory perovskite deposition: 1) spin coating of stoichiometric precursor solution, 2) spin coating of precursor solution using lead chloride precursor and 3) the two step deposition method. Also, the two most widely used substrate configurations (planar and mesoporous substrate)were considered. LCA included three realistic scenarios for the end of life: 1) residual landfill, 2) reuse and residual landfill and 3) reuse and recycling. The remaining variable parameters to assemble the device were fixed in common for all four devices, which were the major responsible of the whole PSC impact. Lead of PSCs had no significant contribution in environmental impacts. Beyond shared procedure steps, impacts generated by the two-step method and the use of mesostructured type substrate were higher. End of life scenario with reuse and recycling improved the toxicity impact categories.", "author" : [ { "dropping-particle" : "", "family" : "Alberola-Borr\u00e0s", "given" : "Jaume-Adri\u00e0", "non-dropping-particle" : "", "parse-names" : false, "suffix" : "" }, { "dropping-particle" : "", "family" : "Vidal", "given" : "Rosario", "non-dropping-particle" : "", "parse-names" : false, "suffix" : "" }, { "dropping-particle" : "", "family" : "Ju\u00e1rez-P\u00e9rez", "given" : "Emilio J", "non-dropping-particle" : "", "parse-names" : false, "suffix" : "" }, { "dropping-particle" : "", "family" : "Mas-Marz\u00e1", "given" : "Elena", "non-dropping-particle" : "", "parse-names" : false, "suffix" : "" }, { "dropping-particle" : "", "family" : "Guerrero", "given" : "Antonio", "non-dropping-particle" : "", "parse-names" : false, "suffix" : "" }, { "dropping-particle" : "", "family" : "Mora-Ser\u00f3", "given" : "Iv\u00e1n", "non-dropping-particle" : "", "parse-names" : false, "suffix" : "" } ], "container-title" : "Solar Energy Materials and Solar Cells", "id" : "ITEM-1", "issued" : { "date-parts" : [ [ "2018", "6" ] ] }, "page" : "169-177", "title" : "Relative impacts of methylammonium lead triiodide perovskite solar cells based on life cycle assessment", "type" : "article-journal", "volume" : "179" }, "uris" : [ "http://www.mendeley.com/documents/?uuid=321e7fc6-be6f-4fdf-b3d9-3036e9649bcb" ] } ], "mendeley" : { "formattedCitation" : "&lt;sup&gt;35&lt;/sup&gt;", "plainTextFormattedCitation" : "35", "previouslyFormattedCitation" : "&lt;sup&gt;35&lt;/sup&gt;" }, "properties" : {  }, "schema" : "https://github.com/citation-style-language/schema/raw/master/csl-citation.json" }</w:instrText>
      </w:r>
      <w:r w:rsidR="0099656C" w:rsidRPr="001B5503">
        <w:fldChar w:fldCharType="separate"/>
      </w:r>
      <w:r w:rsidR="00D67546" w:rsidRPr="00D67546">
        <w:rPr>
          <w:noProof/>
          <w:vertAlign w:val="superscript"/>
        </w:rPr>
        <w:t>35</w:t>
      </w:r>
      <w:r w:rsidR="0099656C" w:rsidRPr="001B5503">
        <w:fldChar w:fldCharType="end"/>
      </w:r>
      <w:r w:rsidR="001A7731" w:rsidRPr="001B5503">
        <w:t xml:space="preserve"> T</w:t>
      </w:r>
      <w:r w:rsidR="00491CBD" w:rsidRPr="001B5503">
        <w:t xml:space="preserve">his study </w:t>
      </w:r>
      <w:r w:rsidR="001A7731" w:rsidRPr="001B5503">
        <w:t xml:space="preserve">also assessed </w:t>
      </w:r>
      <w:r w:rsidR="00491CBD" w:rsidRPr="001B5503">
        <w:t>a PSCs r</w:t>
      </w:r>
      <w:r w:rsidR="001A7731" w:rsidRPr="001B5503">
        <w:t>egeneration</w:t>
      </w:r>
      <w:r w:rsidR="00491CBD" w:rsidRPr="001B5503">
        <w:t xml:space="preserve"> method previously proposed</w:t>
      </w:r>
      <w:r w:rsidR="0099656C" w:rsidRPr="001B5503">
        <w:fldChar w:fldCharType="begin" w:fldLock="1"/>
      </w:r>
      <w:r w:rsidR="00D67546">
        <w:instrText>ADDIN CSL_CITATION { "citationItems" : [ { "id" : "ITEM-1", "itemData" : { "DOI" : "10.1016/j.solmat.2016.03.035", "ISSN" : "09270248", "abstract" : "Perovskite solar cells (PVKSCs) are an attractive technology that finds their potential in the field of renewable energy sources. Transparent conductive oxides including fluorine-doped tin dioxide (FTO) and indium tin oxide (ITO) with high optical transmittance and low electrical resistivity are key components in PVKSCs. While commercial FTO or ITO either requires high temperature and high vacuum process or contains rare indium element, which will increase the production cost of PVKSCs. Here we report efficient electron-transport layer (ETL) free planar PVKSCs using the recycled FTO/glass substrates from degraded devices. By simple and low-temperature processes including organic solvent washing, ultrasonic cleaning and UV ozone treatment, the discarded substrates can be readily reused for fabricating ETL-free planar PVKSCs. The UV-vis optical transmission, crystal structure, sheet resistance, surface morphology, elemental composition and static contact angles measurement of the original and recycled FTO/glass substrates (one time and two times) were measured and compared. Planar ETL-free devices with power conversion efficiencies of about 10% have been achieved by adopting the recycled FTO/glass substrates, which are comparable to that of the devices based on the original FTO substrates, suggesting the feasibility of recycling the FTO/glass substrates from degraded devices for fabricating ETL-free PVKSCs.", "author" : [ { "dropping-particle" : "", "family" : "Huang", "given" : "Like", "non-dropping-particle" : "", "parse-names" : false, "suffix" : "" }, { "dropping-particle" : "", "family" : "Hu", "given" : "Ziyang", "non-dropping-particle" : "", "parse-names" : false, "suffix" : "" }, { "dropping-particle" : "", "family" : "Xu", "given" : "Jie", "non-dropping-particle" : "", "parse-names" : false, "suffix" : "" }, { "dropping-particle" : "", "family" : "Sun", "given" : "Xiaoxiang", "non-dropping-particle" : "", "parse-names" : false, "suffix" : "" }, { "dropping-particle" : "", "family" : "Du", "given" : "Yangyang", "non-dropping-particle" : "", "parse-names" : false, "suffix" : "" }, { "dropping-particle" : "", "family" : "Ni", "given" : "Jian", "non-dropping-particle" : "", "parse-names" : false, "suffix" : "" }, { "dropping-particle" : "", "family" : "Cai", "given" : "Hongkun", "non-dropping-particle" : "", "parse-names" : false, "suffix" : "" }, { "dropping-particle" : "", "family" : "Li", "given" : "Juan", "non-dropping-particle" : "", "parse-names" : false, "suffix" : "" }, { "dropping-particle" : "", "family" : "Zhang", "given" : "Jianjun", "non-dropping-particle" : "", "parse-names" : false, "suffix" : "" } ], "container-title" : "Solar Energy Materials and Solar Cells", "id" : "ITEM-1", "issued" : { "date-parts" : [ [ "2016", "8" ] ] }, "page" : "118-124", "publisher" : "Elsevier", "title" : "Efficient electron-transport layer-free planar perovskite solar cells via recycling the FTO/glass substrates from degraded devices", "type" : "article-journal", "volume" : "152" }, "uris" : [ "http://www.mendeley.com/documents/?uuid=42af0c51-c679-402c-a56d-0d2f05decb1a" ] }, { "id" : "ITEM-2", "itemData" : { "DOI" : "10.1038/ncomms11735", "ISBN" : "2041-1723 (Electronic) 2041-1723 (Linking)", "ISSN" : "2041-1723", "PMID" : "27211006", "abstract" : "Most research on perovskite solar cells has focused on improving power-conversion efficiency and stability. However, if one could refurbish perovskite solar cells, their stability might not be a critical issue. From the perspective of cost effectiveness, if failed, perovskite solar cells could be collected and recycled; reuse of their gold electrodes and transparent conducting glasses could reduce the price per watt of perovskite photovoltaic modules. Herein, we present a simple and effective method for removing the perovskite layer and reusing the mesoporous TiO2-coated transparent conducting glass substrate via selective dissolution. We find that the perovskite layer can be easily decomposed in polar aprotic solvents because of the reaction between polar aprotic solvents and Pb2+ cations. After 10 cycles of recycling, a mesoporous TiO2-coated transparent conducting glass substrate-based perovskite solar cell still shows a constant power-conversion efficiency, thereby demonstrating the possibility of recycling perovskite solar cells.", "author" : [ { "dropping-particle" : "", "family" : "Kim", "given" : "Byeong Jo", "non-dropping-particle" : "", "parse-names" : false, "suffix" : "" }, { "dropping-particle" : "", "family" : "Kim", "given" : "Dong Hoe", "non-dropping-particle" : "", "parse-names" : false, "suffix" : "" }, { "dropping-particle" : "", "family" : "Kwon", "given" : "Seung Lee", "non-dropping-particle" : "", "parse-names" : false, "suffix" : "" }, { "dropping-particle" : "", "family" : "Park", "given" : "So Yeon", "non-dropping-particle" : "", "parse-names" : false, "suffix" : "" }, { "dropping-particle" : "", "family" : "Li", "given" : "Zhen", "non-dropping-particle" : "", "parse-names" : false, "suffix" : "" }, { "dropping-particle" : "", "family" : "Zhu", "given" : "Kai", "non-dropping-particle" : "", "parse-names" : false, "suffix" : "" }, { "dropping-particle" : "", "family" : "Jung", "given" : "Hyun Suk", "non-dropping-particle" : "", "parse-names" : false, "suffix" : "" } ], "container-title" : "Nature Communications", "id" : "ITEM-2", "issued" : { "date-parts" : [ [ "2016", "5", "23" ] ] }, "page" : "11735", "publisher" : "Nature Publishing Group", "title" : "Selective dissolution of halide perovskites as a step towards recycling solar cells", "type" : "article-journal", "volume" : "7" }, "uris" : [ "http://www.mendeley.com/documents/?uuid=c53f4159-27e4-3077-b730-dc0086a6b5aa" ] } ], "mendeley" : { "formattedCitation" : "&lt;sup&gt;36,37&lt;/sup&gt;", "plainTextFormattedCitation" : "36,37", "previouslyFormattedCitation" : "&lt;sup&gt;36,37&lt;/sup&gt;" }, "properties" : {  }, "schema" : "https://github.com/citation-style-language/schema/raw/master/csl-citation.json" }</w:instrText>
      </w:r>
      <w:r w:rsidR="0099656C" w:rsidRPr="001B5503">
        <w:fldChar w:fldCharType="separate"/>
      </w:r>
      <w:r w:rsidR="00D67546" w:rsidRPr="00D67546">
        <w:rPr>
          <w:noProof/>
          <w:vertAlign w:val="superscript"/>
        </w:rPr>
        <w:t>36,37</w:t>
      </w:r>
      <w:r w:rsidR="0099656C" w:rsidRPr="001B5503">
        <w:fldChar w:fldCharType="end"/>
      </w:r>
      <w:r w:rsidR="001A7731" w:rsidRPr="001B5503">
        <w:t xml:space="preserve"> applied to the four production methods considered</w:t>
      </w:r>
      <w:r w:rsidR="00491CBD" w:rsidRPr="001B5503">
        <w:t>.</w:t>
      </w:r>
    </w:p>
    <w:p w14:paraId="72074E7F" w14:textId="77777777" w:rsidR="00D51480" w:rsidRPr="001B5503" w:rsidRDefault="00461AE7" w:rsidP="00D93CB6">
      <w:r w:rsidRPr="001B5503">
        <w:t>Other studies addressed the inclusion of Cs and FA in PSCs. For instance,</w:t>
      </w:r>
      <w:r w:rsidR="00683DEE">
        <w:t xml:space="preserve"> a</w:t>
      </w:r>
      <w:r w:rsidR="00D6636E" w:rsidRPr="001B5503">
        <w:t xml:space="preserve"> LCA was </w:t>
      </w:r>
      <w:r w:rsidR="005A39CE" w:rsidRPr="001B5503">
        <w:t xml:space="preserve">individually </w:t>
      </w:r>
      <w:r w:rsidR="00D6636E" w:rsidRPr="001B5503">
        <w:t xml:space="preserve">applied to </w:t>
      </w:r>
      <w:r w:rsidR="0037327D" w:rsidRPr="001B5503">
        <w:t xml:space="preserve">the whole life cycle of modules of </w:t>
      </w:r>
      <w:r w:rsidR="004529A9" w:rsidRPr="001B5503">
        <w:t xml:space="preserve">five </w:t>
      </w:r>
      <w:r w:rsidR="0037327D" w:rsidRPr="001B5503">
        <w:t>different types of perovskite, such as MAPbI</w:t>
      </w:r>
      <w:r w:rsidR="0037327D" w:rsidRPr="001B5503">
        <w:rPr>
          <w:vertAlign w:val="subscript"/>
        </w:rPr>
        <w:t>2</w:t>
      </w:r>
      <w:r w:rsidR="0037327D" w:rsidRPr="001B5503">
        <w:t>Cl, MAPbI</w:t>
      </w:r>
      <w:r w:rsidR="0037327D" w:rsidRPr="001B5503">
        <w:rPr>
          <w:vertAlign w:val="subscript"/>
        </w:rPr>
        <w:t>3</w:t>
      </w:r>
      <w:r w:rsidR="0037327D" w:rsidRPr="001B5503">
        <w:t>, FAPbI</w:t>
      </w:r>
      <w:r w:rsidR="0037327D" w:rsidRPr="001B5503">
        <w:rPr>
          <w:vertAlign w:val="subscript"/>
        </w:rPr>
        <w:t>3</w:t>
      </w:r>
      <w:r w:rsidR="0037327D" w:rsidRPr="001B5503">
        <w:t>, CsP</w:t>
      </w:r>
      <w:r w:rsidR="00802A19" w:rsidRPr="001B5503">
        <w:t>bI</w:t>
      </w:r>
      <w:r w:rsidR="00802A19" w:rsidRPr="001B5503">
        <w:rPr>
          <w:vertAlign w:val="subscript"/>
        </w:rPr>
        <w:t>3</w:t>
      </w:r>
      <w:r w:rsidR="00802A19" w:rsidRPr="001B5503">
        <w:t>, MASnI</w:t>
      </w:r>
      <w:r w:rsidR="00802A19" w:rsidRPr="001B5503">
        <w:rPr>
          <w:vertAlign w:val="subscript"/>
        </w:rPr>
        <w:t>3</w:t>
      </w:r>
      <w:r w:rsidR="000E6B5A" w:rsidRPr="001B5503">
        <w:rPr>
          <w:vertAlign w:val="subscript"/>
        </w:rPr>
        <w:t>-x</w:t>
      </w:r>
      <w:r w:rsidR="000E6B5A" w:rsidRPr="001B5503">
        <w:t>Br</w:t>
      </w:r>
      <w:r w:rsidR="000E6B5A" w:rsidRPr="001B5503">
        <w:rPr>
          <w:vertAlign w:val="subscript"/>
        </w:rPr>
        <w:t>x</w:t>
      </w:r>
      <w:r w:rsidR="00B4029A" w:rsidRPr="001B5503">
        <w:t>.</w:t>
      </w:r>
      <w:r w:rsidR="0099656C" w:rsidRPr="001B5503">
        <w:fldChar w:fldCharType="begin" w:fldLock="1"/>
      </w:r>
      <w:r w:rsidR="00D67546">
        <w:instrText>ADDIN CSL_CITATION { "citationItems" : [ { "id" : "ITEM-1", "itemData" : { "DOI" : "10.1016/j.solmat.2017.03.008", "ISSN" : "09270248", "abstract" : "Perovskite solar cells have attracted enormous attention due to their low cost and high power conversion efficiency. However, the use of toxic metals such as lead in the perovskite dye and the disposal methods of perovskite solar cells cause grave concerns about their environmental impacts. Inorganic and lead-free perovskite solar cells have been developed to overcome the disadvantages of lead-based organic perovskite solar cells, a development that involves different materials and manufacturing processes to fabricate different perovskite solar cells. In order to understand and develop an environmentally friendly perovskite solar cell technology, comprehensive environmental impact assessments have been conducted in this study on five typical perovskite solar cells, using an attributional life cycle assessment (LCA) approach. The results indicate that MAPbI3 and FAPbI3 perovskite solar cells have relatively larger environmental impacts than MASnI3\u2212xBrx, CsPbBr3, and MAPbI2Cl perovskite solar cells based on a 1 cm2 active area solar cell system, and this result can be explained by the different amounts of organic solvents used in the device fabrication. In addition, gold production makes the largest environmental impact contribution to perovskite solar cell systems, and the substitution of silver or aluminum for gold can significantly reduce the total environmental impact scores. For disposal methods, incineration with energy recovery is found better than landfill.", "author" : [ { "dropping-particle" : "", "family" : "Zhang", "given" : "Jingyi", "non-dropping-particle" : "", "parse-names" : false, "suffix" : "" }, { "dropping-particle" : "", "family" : "Gao", "given" : "Xianfeng", "non-dropping-particle" : "", "parse-names" : false, "suffix" : "" }, { "dropping-particle" : "", "family" : "Deng", "given" : "Yelin", "non-dropping-particle" : "", "parse-names" : false, "suffix" : "" }, { "dropping-particle" : "", "family" : "Zha", "given" : "Yuanchun", "non-dropping-particle" : "", "parse-names" : false, "suffix" : "" }, { "dropping-particle" : "", "family" : "Yuan", "given" : "Chris", "non-dropping-particle" : "", "parse-names" : false, "suffix" : "" } ], "container-title" : "Solar Energy Materials and Solar Cells", "id" : "ITEM-1", "issued" : { "date-parts" : [ [ "2017", "7" ] ] }, "page" : "9-17", "title" : "Comparison of life cycle environmental impacts of different perovskite solar cell systems", "type" : "article-journal", "volume" : "166" }, "uris" : [ "http://www.mendeley.com/documents/?uuid=8dfcd4d5-b00c-315a-bc5a-a77ac7edaa9f" ] } ], "mendeley" : { "formattedCitation" : "&lt;sup&gt;38&lt;/sup&gt;", "plainTextFormattedCitation" : "38", "previouslyFormattedCitation" : "&lt;sup&gt;38&lt;/sup&gt;" }, "properties" : {  }, "schema" : "https://github.com/citation-style-language/schema/raw/master/csl-citation.json" }</w:instrText>
      </w:r>
      <w:r w:rsidR="0099656C" w:rsidRPr="001B5503">
        <w:fldChar w:fldCharType="separate"/>
      </w:r>
      <w:r w:rsidR="00D67546" w:rsidRPr="00D67546">
        <w:rPr>
          <w:noProof/>
          <w:vertAlign w:val="superscript"/>
        </w:rPr>
        <w:t>38</w:t>
      </w:r>
      <w:r w:rsidR="0099656C" w:rsidRPr="001B5503">
        <w:fldChar w:fldCharType="end"/>
      </w:r>
      <w:r w:rsidR="00683DEE">
        <w:t xml:space="preserve"> </w:t>
      </w:r>
      <w:r w:rsidR="007C5607" w:rsidRPr="001B5503">
        <w:t>In</w:t>
      </w:r>
      <w:r w:rsidR="0004315A" w:rsidRPr="001B5503">
        <w:t xml:space="preserve"> this work, MAPbI</w:t>
      </w:r>
      <w:r w:rsidR="0004315A" w:rsidRPr="001B5503">
        <w:rPr>
          <w:vertAlign w:val="subscript"/>
        </w:rPr>
        <w:t>3</w:t>
      </w:r>
      <w:r w:rsidR="0004315A" w:rsidRPr="001B5503">
        <w:t xml:space="preserve"> and FAPbI</w:t>
      </w:r>
      <w:r w:rsidR="0004315A" w:rsidRPr="001B5503">
        <w:rPr>
          <w:vertAlign w:val="subscript"/>
        </w:rPr>
        <w:t>3</w:t>
      </w:r>
      <w:r w:rsidR="0004315A" w:rsidRPr="001B5503">
        <w:t xml:space="preserve"> arose as the most </w:t>
      </w:r>
      <w:r w:rsidR="007F511B" w:rsidRPr="001B5503">
        <w:t>harmful perovskites. However, results of the comparison of perovskites were clouded by the rest of the layer forming devices, such as the cathode and the anode made of fluorine-doped tin oxide (FTO).</w:t>
      </w:r>
      <w:r w:rsidR="00683DEE">
        <w:t xml:space="preserve"> </w:t>
      </w:r>
      <w:r w:rsidR="00E848AF" w:rsidRPr="001B5503">
        <w:t>Another study collated a conventional MAPbX</w:t>
      </w:r>
      <w:r w:rsidR="00E848AF" w:rsidRPr="001B5503">
        <w:rPr>
          <w:vertAlign w:val="subscript"/>
        </w:rPr>
        <w:t>3</w:t>
      </w:r>
      <w:r w:rsidR="00E848AF" w:rsidRPr="001B5503">
        <w:t xml:space="preserve"> and a more stable CsFAPbX</w:t>
      </w:r>
      <w:r w:rsidR="00E848AF" w:rsidRPr="001B5503">
        <w:rPr>
          <w:vertAlign w:val="subscript"/>
        </w:rPr>
        <w:t>3</w:t>
      </w:r>
      <w:r w:rsidR="00E848AF" w:rsidRPr="001B5503">
        <w:t xml:space="preserve"> with other photovoltaic technologies</w:t>
      </w:r>
      <w:r w:rsidR="00B4029A" w:rsidRPr="001B5503">
        <w:t>.</w:t>
      </w:r>
      <w:r w:rsidR="0099656C" w:rsidRPr="001B5503">
        <w:fldChar w:fldCharType="begin" w:fldLock="1"/>
      </w:r>
      <w:r w:rsidR="00D67546">
        <w:instrText>ADDIN CSL_CITATION { "citationItems" : [ { "id" : "ITEM-1", "itemData" : { "DOI" : "10.1016/j.rser.2017.05.095", "ISSN" : "13640321", "abstract" : "Solar cells are considered as one of the prominent sources of renewable energy suitable for large-scale adoption in a carbon-constrained world and can contribute to reduced reliance on energy imports, whilst improving the security of energy supply. A new arrival in the family of solar cells technologies is the organic-inorganic halide perovskite. The major thrust for endorsing these new solar cells pertains to their potential as an economically and environmentally viable option to traditional silicon-based technology. To verify this assertion, this paper presents a critical review of some existing photovoltaic (PV) technologies in comparison with perovskite-structured solar cells (PSCs), including material and performance parameters, production processes and manufacturing complexity, economics, key technological challenges for further developments and current research efforts. At present, there is limited environmental assessment of PSCs and consequently, a methodologically robust and environmentally expansive lifecycle supply chain assessment of two types of PSC modules A and B is also undertaken within the context of other PV technologies, to assess their potential for environmentally friendly innovation in the energy sector. Module A is based on MAPbX3 perovskite structure while module B is based on CsFAPbX3 with improved stability, reproducibility and high performance efficiency. The main outcomes, presented along with sensitivity analysis, show that PSCs offer more environmentally friendly and sustainable option, with the least energy payback period, as compared to other PV technologies. The review and analysis presented provide valuable insight and guidance in identifying pathways and windows of opportunity for future PV designs towards cleaner and sustainable energy production.", "author" : [ { "dropping-particle" : "", "family" : "Ibn-Mohammed", "given" : "T.", "non-dropping-particle" : "", "parse-names" : false, "suffix" : "" }, { "dropping-particle" : "", "family" : "Koh", "given" : "S.C.L.", "non-dropping-particle" : "", "parse-names" : false, "suffix" : "" }, { "dropping-particle" : "", "family" : "Reaney", "given" : "I.M.", "non-dropping-particle" : "", "parse-names" : false, "suffix" : "" }, { "dropping-particle" : "", "family" : "Acquaye", "given" : "A.", "non-dropping-particle" : "", "parse-names" : false, "suffix" : "" }, { "dropping-particle" : "", "family" : "Schileo", "given" : "G.", "non-dropping-particle" : "", "parse-names" : false, "suffix" : "" }, { "dropping-particle" : "", "family" : "Mustapha", "given" : "K.B.", "non-dropping-particle" : "", "parse-names" : false, "suffix" : "" }, { "dropping-particle" : "", "family" : "Greenough", "given" : "R.", "non-dropping-particle" : "", "parse-names" : false, "suffix" : "" } ], "container-title" : "Renewable and Sustainable Energy Reviews", "id" : "ITEM-1", "issued" : { "date-parts" : [ [ "2017", "12" ] ] }, "page" : "1321-1344", "title" : "Perovskite solar cells: An integrated hybrid lifecycle assessment and review in comparison with other photovoltaic technologies", "type" : "article-journal", "volume" : "80" }, "uris" : [ "http://www.mendeley.com/documents/?uuid=6d25bdd4-4c63-3b34-9d1c-9409dead9fb4" ] } ], "mendeley" : { "formattedCitation" : "&lt;sup&gt;39&lt;/sup&gt;", "plainTextFormattedCitation" : "39", "previouslyFormattedCitation" : "&lt;sup&gt;39&lt;/sup&gt;" }, "properties" : {  }, "schema" : "https://github.com/citation-style-language/schema/raw/master/csl-citation.json" }</w:instrText>
      </w:r>
      <w:r w:rsidR="0099656C" w:rsidRPr="001B5503">
        <w:fldChar w:fldCharType="separate"/>
      </w:r>
      <w:r w:rsidR="00D67546" w:rsidRPr="00D67546">
        <w:rPr>
          <w:noProof/>
          <w:vertAlign w:val="superscript"/>
        </w:rPr>
        <w:t>39</w:t>
      </w:r>
      <w:r w:rsidR="0099656C" w:rsidRPr="001B5503">
        <w:fldChar w:fldCharType="end"/>
      </w:r>
    </w:p>
    <w:p w14:paraId="1D5B5952" w14:textId="77777777" w:rsidR="002567A1" w:rsidRPr="001B5503" w:rsidRDefault="002567A1" w:rsidP="00D93CB6">
      <w:r w:rsidRPr="001B5503">
        <w:t>Th</w:t>
      </w:r>
      <w:r w:rsidR="00F95A06" w:rsidRPr="001B5503">
        <w:t>e aim of this work is</w:t>
      </w:r>
      <w:r w:rsidRPr="001B5503">
        <w:t xml:space="preserve"> to </w:t>
      </w:r>
      <w:r w:rsidR="00221D83" w:rsidRPr="001B5503">
        <w:t>evaluate</w:t>
      </w:r>
      <w:r w:rsidR="00683DEE">
        <w:t xml:space="preserve"> </w:t>
      </w:r>
      <w:r w:rsidR="00221D83" w:rsidRPr="001B5503">
        <w:t xml:space="preserve">the ongoing trend of </w:t>
      </w:r>
      <w:r w:rsidRPr="001B5503">
        <w:t xml:space="preserve">compositional engineering </w:t>
      </w:r>
      <w:r w:rsidR="00221D83" w:rsidRPr="001B5503">
        <w:t xml:space="preserve">in PSCs </w:t>
      </w:r>
      <w:r w:rsidRPr="001B5503">
        <w:t>through LCA</w:t>
      </w:r>
      <w:r w:rsidR="00F65FFF" w:rsidRPr="001B5503">
        <w:t xml:space="preserve"> from cradle to ga</w:t>
      </w:r>
      <w:r w:rsidR="00A5489E" w:rsidRPr="001B5503">
        <w:t>t</w:t>
      </w:r>
      <w:r w:rsidR="00D75E19" w:rsidRPr="001B5503">
        <w:t>e</w:t>
      </w:r>
      <w:r w:rsidRPr="001B5503">
        <w:t>.</w:t>
      </w:r>
      <w:r w:rsidR="00683DEE">
        <w:t xml:space="preserve"> </w:t>
      </w:r>
      <w:r w:rsidR="00B57D08" w:rsidRPr="001B5503">
        <w:t>Therefore</w:t>
      </w:r>
      <w:r w:rsidR="00E33835" w:rsidRPr="001B5503">
        <w:t>, the focus is solely set on the perovskite layer.</w:t>
      </w:r>
      <w:r w:rsidR="00683DEE">
        <w:t xml:space="preserve"> </w:t>
      </w:r>
      <w:r w:rsidR="00005B3F" w:rsidRPr="001B5503">
        <w:t xml:space="preserve">Furthermore, as </w:t>
      </w:r>
      <w:r w:rsidR="00665533" w:rsidRPr="001B5503">
        <w:t>layers apart from perovskite layer would be</w:t>
      </w:r>
      <w:r w:rsidR="00005B3F" w:rsidRPr="001B5503">
        <w:t xml:space="preserve"> roughly the same </w:t>
      </w:r>
      <w:r w:rsidR="00665533" w:rsidRPr="001B5503">
        <w:t xml:space="preserve">for every PSC studied, focusing the comparison on </w:t>
      </w:r>
      <w:r w:rsidR="00AB5743" w:rsidRPr="001B5503">
        <w:t>perovskite</w:t>
      </w:r>
      <w:r w:rsidR="00665533" w:rsidRPr="001B5503">
        <w:t xml:space="preserve"> layer is more meaningful.</w:t>
      </w:r>
      <w:r w:rsidR="00683DEE">
        <w:t xml:space="preserve"> </w:t>
      </w:r>
      <w:r w:rsidR="005D63B7" w:rsidRPr="001B5503">
        <w:t xml:space="preserve">By isolating the perovskite layer, clear results of the environmental performance of the different compositions of perovskites </w:t>
      </w:r>
      <w:r w:rsidR="00F86F78" w:rsidRPr="001B5503">
        <w:t>combining the three Cs, FA and M</w:t>
      </w:r>
      <w:r w:rsidR="008B6D1D" w:rsidRPr="001B5503">
        <w:t>A</w:t>
      </w:r>
      <w:r w:rsidR="00F86F78" w:rsidRPr="001B5503">
        <w:t xml:space="preserve"> cations</w:t>
      </w:r>
      <w:r w:rsidR="008B6D1D" w:rsidRPr="001B5503">
        <w:t>, as well as the reagents that contain them,</w:t>
      </w:r>
      <w:r w:rsidR="00683DEE">
        <w:t xml:space="preserve"> </w:t>
      </w:r>
      <w:r w:rsidR="008B6D1D" w:rsidRPr="001B5503">
        <w:t>ar</w:t>
      </w:r>
      <w:r w:rsidR="005D63B7" w:rsidRPr="001B5503">
        <w:t xml:space="preserve">e obtained </w:t>
      </w:r>
      <w:r w:rsidR="00D83BC8" w:rsidRPr="001B5503">
        <w:t xml:space="preserve">here </w:t>
      </w:r>
      <w:r w:rsidR="005D63B7" w:rsidRPr="001B5503">
        <w:t xml:space="preserve">for the first time. </w:t>
      </w:r>
      <w:r w:rsidR="00B57D08" w:rsidRPr="001B5503">
        <w:t>Herein</w:t>
      </w:r>
      <w:r w:rsidR="0038669F" w:rsidRPr="001B5503">
        <w:t>,</w:t>
      </w:r>
      <w:r w:rsidR="00BE3E57" w:rsidRPr="001B5503">
        <w:t xml:space="preserve"> the</w:t>
      </w:r>
      <w:r w:rsidR="00683DEE">
        <w:t xml:space="preserve"> </w:t>
      </w:r>
      <w:r w:rsidR="00BE3E57" w:rsidRPr="001B5503">
        <w:t>four</w:t>
      </w:r>
      <w:r w:rsidR="0038669F" w:rsidRPr="001B5503">
        <w:t xml:space="preserve"> compositions </w:t>
      </w:r>
      <w:r w:rsidR="00E33835" w:rsidRPr="001B5503">
        <w:t>reported on the manuscript of Saliba et al</w:t>
      </w:r>
      <w:r w:rsidR="0099656C" w:rsidRPr="001B5503">
        <w:fldChar w:fldCharType="begin" w:fldLock="1"/>
      </w:r>
      <w:r w:rsidR="0020768A" w:rsidRPr="001B5503">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"suppress-author" : 1,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99656C" w:rsidRPr="001B5503">
        <w:fldChar w:fldCharType="separate"/>
      </w:r>
      <w:r w:rsidR="009E3660" w:rsidRPr="001B5503">
        <w:rPr>
          <w:noProof/>
          <w:vertAlign w:val="superscript"/>
        </w:rPr>
        <w:t>15</w:t>
      </w:r>
      <w:r w:rsidR="0099656C" w:rsidRPr="001B5503">
        <w:fldChar w:fldCharType="end"/>
      </w:r>
      <w:r w:rsidR="00E33835" w:rsidRPr="001B5503">
        <w:t xml:space="preserve"> are </w:t>
      </w:r>
      <w:r w:rsidR="007D73DD" w:rsidRPr="001B5503">
        <w:t>contrasted</w:t>
      </w:r>
      <w:r w:rsidR="00A33F6C" w:rsidRPr="001B5503">
        <w:t xml:space="preserve"> with a </w:t>
      </w:r>
      <w:r w:rsidR="005A3AEA" w:rsidRPr="001B5503">
        <w:t>canonical</w:t>
      </w:r>
      <w:r w:rsidR="00683DEE">
        <w:t xml:space="preserve"> </w:t>
      </w:r>
      <w:r w:rsidR="00D83BC8" w:rsidRPr="001B5503">
        <w:t>MAPbI</w:t>
      </w:r>
      <w:r w:rsidR="00D83BC8" w:rsidRPr="001B5503">
        <w:rPr>
          <w:vertAlign w:val="subscript"/>
        </w:rPr>
        <w:t>3</w:t>
      </w:r>
      <w:r w:rsidR="00A33F6C" w:rsidRPr="001B5503">
        <w:t xml:space="preserve"> perovskite synthesised and deposited according to </w:t>
      </w:r>
      <w:r w:rsidR="008A6F7D" w:rsidRPr="001B5503">
        <w:t>Noh et al.</w:t>
      </w:r>
      <w:r w:rsidR="0099656C" w:rsidRPr="001B5503">
        <w:fldChar w:fldCharType="begin" w:fldLock="1"/>
      </w:r>
      <w:r w:rsidR="00D67546">
        <w:instrText>ADDIN CSL_CITATION { "citationItems" : [ { "id" : "ITEM-1", "itemData" : { "DOI" : "10.1039/c3ta12681a", "ISSN" : "2050-7488", "abstract" : "For using 2,2\u2032,7,7\u2032-tetrakis(N,N\u2032-di-p- methoxyphenylamine)-9,9\u2032-spirobifluorene (spiro-OMeTAD) as a hole conductor in solar cells, it is necessary to improve its charge-transport properties through electrochemical doping. With the aim of fabricating efficient mesoscopic TiO2/CH3NH3PbI3 heterojunction solar cells, we used tris[2-(1H-pyrazol-1-yl)-4-tert- butylpyridine)cobalt(iii) tris(bis(trifluoromethylsulfonyl) imide)] (FK209) as a p-dopant for spiro-OMeTAD. The mixture of spiro-OMeTAD, FK209, lithium bis(trifluoromethylsulfonyl)imide (Li-TFSI), and 4-tert-butylpyridine (TBP) exhibited significantly higher performance than mixtures of pristine spiro-OMeTAD, spiro-OMeTAD, and FK209, and spiro-OMeTAD, Li-TFSI, and TBP. Such a synergistic effect between the Co-complex and Li-TFSI in conjunction with spiro-OMeTAD effectively improved the power conversion efficiency (PCE) of the fabricated solar cells. As a result, we achieved PCE of 10.4%, measured under standard solar conditions (AM 1.5G, 100 mW cm-2). \u00a9 2013 The Royal Society of Chemistry.", "author" : [ { "dropping-particle" : "", "family" : "Noh", "given" : "Jun Hong", "non-dropping-particle" : "", "parse-names" : false, "suffix" : "" }, { "dropping-particle" : "", "family" : "Jeon", "given" : "Nam Joong", "non-dropping-particle" : "", "parse-names" : false, "suffix" : "" }, { "dropping-particle" : "", "family" : "Choi", "given" : "Yong Chan", "non-dropping-particle" : "", "parse-names" : false, "suffix" : "" }, { "dropping-particle" : "", "family" : "Nazeeruddin", "given" : "Md. K.", "non-dropping-particle" : "", "parse-names" : false, "suffix" : "" }, { "dropping-particle" : "", "family" : "Gr\u00e4tzel", "given" : "Michael", "non-dropping-particle" : "", "parse-names" : false, "suffix" : "" }, { "dropping-particle" : "Il", "family" : "Seok", "given" : "Sang", "non-dropping-particle" : "", "parse-names" : false, "suffix" : "" } ], "container-title" : "Journal of Materials Chemistry A", "id" : "ITEM-1", "issue" : "38", "issued" : { "date-parts" : [ [ "2013" ] ] }, "page" : "11842", "title" : "Nanostructured TiO2/CH3NH3PbI3 heterojunction solar cells employing spiro-OMeTAD/Co-complex as hole-transporting material", "type" : "article-journal", "volume" : "1" }, "suppress-author" : 1, "uris" : [ "http://www.mendeley.com/documents/?uuid=33519ca2-3a48-4953-b0cd-e6c55ccfeb73" ] } ], "mendeley" : { "formattedCitation" : "&lt;sup&gt;40&lt;/sup&gt;", "plainTextFormattedCitation" : "40", "previouslyFormattedCitation" : "&lt;sup&gt;40&lt;/sup&gt;" }, "properties" : {  }, "schema" : "https://github.com/citation-style-language/schema/raw/master/csl-citation.json" }</w:instrText>
      </w:r>
      <w:r w:rsidR="0099656C" w:rsidRPr="001B5503">
        <w:fldChar w:fldCharType="separate"/>
      </w:r>
      <w:r w:rsidR="00D67546" w:rsidRPr="00D67546">
        <w:rPr>
          <w:noProof/>
          <w:vertAlign w:val="superscript"/>
        </w:rPr>
        <w:t>40</w:t>
      </w:r>
      <w:r w:rsidR="0099656C" w:rsidRPr="001B5503">
        <w:fldChar w:fldCharType="end"/>
      </w:r>
      <w:r w:rsidR="00683DEE">
        <w:t xml:space="preserve"> </w:t>
      </w:r>
      <w:r w:rsidR="00BE3E57" w:rsidRPr="001B5503">
        <w:t>As a consequence</w:t>
      </w:r>
      <w:r w:rsidR="008B6D1D" w:rsidRPr="001B5503">
        <w:t>, the corresponding deposition methods for each type of perovskite are also contrasted.</w:t>
      </w:r>
      <w:r w:rsidR="00D83BC8" w:rsidRPr="001B5503">
        <w:t xml:space="preserve"> For a more realistic determination of the energy </w:t>
      </w:r>
      <w:r w:rsidR="00D71C69" w:rsidRPr="001B5503">
        <w:t>consumption</w:t>
      </w:r>
      <w:r w:rsidR="00D83BC8" w:rsidRPr="001B5503">
        <w:t xml:space="preserve">, it has been directly measured for the preparation of cells at laboratory scale. </w:t>
      </w:r>
      <w:r w:rsidR="00795A99" w:rsidRPr="001B5503">
        <w:t xml:space="preserve">Energy used </w:t>
      </w:r>
      <w:r w:rsidR="00BE01D2" w:rsidRPr="001B5503">
        <w:t xml:space="preserve">in the method to synthesise </w:t>
      </w:r>
      <w:r w:rsidR="00D83BC8" w:rsidRPr="001B5503">
        <w:t>multiple</w:t>
      </w:r>
      <w:r w:rsidR="00BE01D2" w:rsidRPr="001B5503">
        <w:t xml:space="preserve"> cation</w:t>
      </w:r>
      <w:r w:rsidR="00D83BC8" w:rsidRPr="001B5503">
        <w:t>/anion</w:t>
      </w:r>
      <w:r w:rsidR="00BE01D2" w:rsidRPr="001B5503">
        <w:t xml:space="preserve"> perovskite</w:t>
      </w:r>
      <w:r w:rsidR="00795A99" w:rsidRPr="001B5503">
        <w:t xml:space="preserve"> w</w:t>
      </w:r>
      <w:r w:rsidR="00BE01D2" w:rsidRPr="001B5503">
        <w:t>as</w:t>
      </w:r>
      <w:r w:rsidR="00795A99" w:rsidRPr="001B5503">
        <w:t xml:space="preserve"> obtained </w:t>
      </w:r>
      <w:r w:rsidR="00DE565C" w:rsidRPr="001B5503">
        <w:t>by measuring the consumption in a laboratory environment</w:t>
      </w:r>
      <w:r w:rsidR="00BE01D2" w:rsidRPr="001B5503">
        <w:t>. On the other hand, the energy consumption for the synthesis of canoni</w:t>
      </w:r>
      <w:r w:rsidR="00D83BC8" w:rsidRPr="001B5503">
        <w:t>cal perovskite was taken from our</w:t>
      </w:r>
      <w:r w:rsidR="00683DEE">
        <w:t xml:space="preserve"> </w:t>
      </w:r>
      <w:r w:rsidR="00D83BC8" w:rsidRPr="001B5503">
        <w:t>previous study, based also in the direct measurement</w:t>
      </w:r>
      <w:r w:rsidR="009208DC" w:rsidRPr="001B5503">
        <w:t>.</w:t>
      </w:r>
      <w:r w:rsidR="0099656C" w:rsidRPr="001B5503">
        <w:fldChar w:fldCharType="begin" w:fldLock="1"/>
      </w:r>
      <w:r w:rsidR="00D67546">
        <w:instrText>ADDIN CSL_CITATION { "citationItems" : [ { "id" : "ITEM-1", "itemData" : { "DOI" : "10.1016/j.solmat.2017.11.008", "ISSN" : "09270248", "abstract" : "Abstract The environmental performance of four different device assembly procedures based on hybrid halide perovskite solar cell (PSC) were assessed from cradle to grave using life cycle assessment (LCA) methodology. In addition, a new environmental indicator was defined to measure the time evolution of an impact category, specifically in this case, human toxicity cancer payback time. PSCs procedures accounted for the probably three more used basic recipes for laboratory perovskite deposition: 1) spin coating of stoichiometric precursor solution, 2) spin coating of precursor solution using lead chloride precursor and 3) the two step deposition method. Also, the two most widely used substrate configurations (planar and mesoporous substrate)were considered. LCA included three realistic scenarios for the end of life: 1) residual landfill, 2) reuse and residual landfill and 3) reuse and recycling. The remaining variable parameters to assemble the device were fixed in common for all four devices, which were the major responsible of the whole PSC impact. Lead of PSCs had no significant contribution in environmental impacts. Beyond shared procedure steps, impacts generated by the two-step method and the use of mesostructured type substrate were higher. End of life scenario with reuse and recycling improved the toxicity impact categories.", "author" : [ { "dropping-particle" : "", "family" : "Alberola-Borr\u00e0s", "given" : "Jaume-Adri\u00e0", "non-dropping-particle" : "", "parse-names" : false, "suffix" : "" }, { "dropping-particle" : "", "family" : "Vidal", "given" : "Rosario", "non-dropping-particle" : "", "parse-names" : false, "suffix" : "" }, { "dropping-particle" : "", "family" : "Ju\u00e1rez-P\u00e9rez", "given" : "Emilio J", "non-dropping-particle" : "", "parse-names" : false, "suffix" : "" }, { "dropping-particle" : "", "family" : "Mas-Marz\u00e1", "given" : "Elena", "non-dropping-particle" : "", "parse-names" : false, "suffix" : "" }, { "dropping-particle" : "", "family" : "Guerrero", "given" : "Antonio", "non-dropping-particle" : "", "parse-names" : false, "suffix" : "" }, { "dropping-particle" : "", "family" : "Mora-Ser\u00f3", "given" : "Iv\u00e1n", "non-dropping-particle" : "", "parse-names" : false, "suffix" : "" } ], "container-title" : "Solar Energy Materials and Solar Cells", "id" : "ITEM-1", "issued" : { "date-parts" : [ [ "2018", "6" ] ] }, "page" : "169-177", "title" : "Relative impacts of methylammonium lead triiodide perovskite solar cells based on life cycle assessment", "type" : "article-journal", "volume" : "179" }, "uris" : [ "http://www.mendeley.com/documents/?uuid=321e7fc6-be6f-4fdf-b3d9-3036e9649bcb" ] } ], "mendeley" : { "formattedCitation" : "&lt;sup&gt;35&lt;/sup&gt;", "plainTextFormattedCitation" : "35", "previouslyFormattedCitation" : "&lt;sup&gt;35&lt;/sup&gt;" }, "properties" : {  }, "schema" : "https://github.com/citation-style-language/schema/raw/master/csl-citation.json" }</w:instrText>
      </w:r>
      <w:r w:rsidR="0099656C" w:rsidRPr="001B5503">
        <w:fldChar w:fldCharType="separate"/>
      </w:r>
      <w:r w:rsidR="00D67546" w:rsidRPr="00D67546">
        <w:rPr>
          <w:noProof/>
          <w:vertAlign w:val="superscript"/>
        </w:rPr>
        <w:t>35</w:t>
      </w:r>
      <w:r w:rsidR="0099656C" w:rsidRPr="001B5503">
        <w:fldChar w:fldCharType="end"/>
      </w:r>
      <w:r w:rsidR="00683DEE">
        <w:t xml:space="preserve"> </w:t>
      </w:r>
      <w:r w:rsidR="0055708A" w:rsidRPr="001B5503">
        <w:t>Furthermore, the</w:t>
      </w:r>
      <w:r w:rsidR="0043687B" w:rsidRPr="001B5503">
        <w:t xml:space="preserve"> usage of</w:t>
      </w:r>
      <w:r w:rsidR="0055708A" w:rsidRPr="001B5503">
        <w:t xml:space="preserve"> materials </w:t>
      </w:r>
      <w:r w:rsidR="0043687B" w:rsidRPr="001B5503">
        <w:t xml:space="preserve">for the synthesis of the </w:t>
      </w:r>
      <w:r w:rsidR="00D83BC8" w:rsidRPr="001B5503">
        <w:t xml:space="preserve">multiple cation/anion </w:t>
      </w:r>
      <w:r w:rsidR="0043687B" w:rsidRPr="001B5503">
        <w:t xml:space="preserve">perovskite is analysed to find the responsible compounds of the four compositions impact. </w:t>
      </w:r>
      <w:r w:rsidR="008F3141" w:rsidRPr="001B5503">
        <w:t xml:space="preserve">A final economic analysis of the materials </w:t>
      </w:r>
      <w:r w:rsidR="00D279BC" w:rsidRPr="001B5503">
        <w:t>complements this assessment</w:t>
      </w:r>
      <w:r w:rsidR="008F3141" w:rsidRPr="001B5503">
        <w:t>.</w:t>
      </w:r>
      <w:r w:rsidR="00683DEE">
        <w:t xml:space="preserve"> </w:t>
      </w:r>
      <w:r w:rsidR="00446736" w:rsidRPr="001B5503">
        <w:t xml:space="preserve">Together with the economic cost of the materials, this analysis presents an economic payback time analysis of the materials used for </w:t>
      </w:r>
      <w:r w:rsidR="00B12103" w:rsidRPr="001B5503">
        <w:t>the synthesis of all perovskites</w:t>
      </w:r>
      <w:r w:rsidR="00446736" w:rsidRPr="001B5503">
        <w:t xml:space="preserve">. </w:t>
      </w:r>
      <w:r w:rsidR="00650341" w:rsidRPr="001B5503">
        <w:t xml:space="preserve">Outcomes of this study are intended to support scientific community to develop PSCs with the highest efficiencies </w:t>
      </w:r>
      <w:r w:rsidR="00F62DC5" w:rsidRPr="001B5503">
        <w:t xml:space="preserve">and </w:t>
      </w:r>
      <w:r w:rsidR="00825DB5" w:rsidRPr="001B5503">
        <w:t xml:space="preserve">stabilities in a safe and environmentally-respectful way, thus fulfilling </w:t>
      </w:r>
      <w:r w:rsidR="00825DB5" w:rsidRPr="001C2942">
        <w:t>one of the objectives of this technology.</w:t>
      </w:r>
      <w:r w:rsidR="00683DEE" w:rsidRPr="001C2942">
        <w:t xml:space="preserve"> </w:t>
      </w:r>
      <w:r w:rsidR="00142C10" w:rsidRPr="001C2942">
        <w:t xml:space="preserve">In addition, the results provided herein must </w:t>
      </w:r>
      <w:r w:rsidR="00DB25A3" w:rsidRPr="001C2942">
        <w:t xml:space="preserve">give an </w:t>
      </w:r>
      <w:r w:rsidR="00DB25A3" w:rsidRPr="001C2942">
        <w:lastRenderedPageBreak/>
        <w:t>approach about PSCs being</w:t>
      </w:r>
      <w:r w:rsidR="00142C10" w:rsidRPr="001C2942">
        <w:t xml:space="preserve"> able to compete with other well-stablished photovoltaic technologies in terms of environmental and economic performance. </w:t>
      </w:r>
      <w:r w:rsidR="00C644E8" w:rsidRPr="001C2942">
        <w:t xml:space="preserve">Thereby, </w:t>
      </w:r>
      <w:r w:rsidR="00AC251F" w:rsidRPr="001C2942">
        <w:t>after this study</w:t>
      </w:r>
      <w:r w:rsidR="00AC251F" w:rsidRPr="001B5503">
        <w:t xml:space="preserve"> </w:t>
      </w:r>
      <w:r w:rsidR="00C644E8" w:rsidRPr="001B5503">
        <w:t xml:space="preserve">PSCs </w:t>
      </w:r>
      <w:r w:rsidR="00AC251F" w:rsidRPr="001B5503">
        <w:t>are expected to</w:t>
      </w:r>
      <w:r w:rsidR="00C644E8" w:rsidRPr="001B5503">
        <w:t xml:space="preserve"> be one step closer to industrial scale production.</w:t>
      </w:r>
    </w:p>
    <w:p w14:paraId="547E69F1" w14:textId="77777777" w:rsidR="002567A1" w:rsidRPr="001B5503" w:rsidRDefault="002567A1" w:rsidP="00153C4A">
      <w:pPr>
        <w:pStyle w:val="Ttulo1"/>
      </w:pPr>
      <w:bookmarkStart w:id="1" w:name="_Ref436150032"/>
      <w:r w:rsidRPr="001B5503">
        <w:t>Materials and methods</w:t>
      </w:r>
      <w:bookmarkEnd w:id="1"/>
    </w:p>
    <w:p w14:paraId="10B32383" w14:textId="77777777" w:rsidR="002567A1" w:rsidRPr="001B5503" w:rsidRDefault="002567A1" w:rsidP="00153C4A">
      <w:pPr>
        <w:pStyle w:val="Ttulo2"/>
      </w:pPr>
      <w:r w:rsidRPr="001B5503">
        <w:t>Goal and scope definition</w:t>
      </w:r>
    </w:p>
    <w:p w14:paraId="43660DB7" w14:textId="77777777" w:rsidR="00132B4E" w:rsidRPr="001B5503" w:rsidRDefault="00D71C69" w:rsidP="00B7242F">
      <w:r w:rsidRPr="001B5503">
        <w:t xml:space="preserve">Fundamental research on PSC is mainly focusing on the efficiency enhancement and on the increase of long term stability. </w:t>
      </w:r>
      <w:r w:rsidR="00B7242F" w:rsidRPr="001B5503">
        <w:t xml:space="preserve">This study </w:t>
      </w:r>
      <w:r w:rsidR="004B417C" w:rsidRPr="001B5503">
        <w:t>i</w:t>
      </w:r>
      <w:r w:rsidR="00B7242F" w:rsidRPr="001B5503">
        <w:t>s intended to assist researchers in</w:t>
      </w:r>
      <w:r w:rsidR="00C7492F" w:rsidRPr="001B5503">
        <w:t xml:space="preserve"> the realm of</w:t>
      </w:r>
      <w:r w:rsidR="00B7242F" w:rsidRPr="001B5503">
        <w:t xml:space="preserve"> perovskite-based photovoltaics </w:t>
      </w:r>
      <w:r w:rsidRPr="001B5503">
        <w:t xml:space="preserve">on issues less investigated but significantly important for the further development of an industrial technology as the effect of composition in cell impacts </w:t>
      </w:r>
      <w:r w:rsidRPr="001C2942">
        <w:t>and cost</w:t>
      </w:r>
      <w:r w:rsidR="00F95007" w:rsidRPr="001C2942">
        <w:t xml:space="preserve">. </w:t>
      </w:r>
      <w:r w:rsidR="005619E0" w:rsidRPr="001C2942">
        <w:t>Furthermore, thanks to multiple cation/anion compositions enhance reproducibility as well as stability,</w:t>
      </w:r>
      <w:r w:rsidR="005619E0" w:rsidRPr="001C2942">
        <w:fldChar w:fldCharType="begin" w:fldLock="1"/>
      </w:r>
      <w:r w:rsidR="005619E0" w:rsidRPr="001C2942">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5619E0" w:rsidRPr="001C2942">
        <w:fldChar w:fldCharType="separate"/>
      </w:r>
      <w:r w:rsidR="005619E0" w:rsidRPr="001C2942">
        <w:rPr>
          <w:noProof/>
          <w:vertAlign w:val="superscript"/>
        </w:rPr>
        <w:t>15</w:t>
      </w:r>
      <w:r w:rsidR="005619E0" w:rsidRPr="001C2942">
        <w:fldChar w:fldCharType="end"/>
      </w:r>
      <w:r w:rsidR="005619E0" w:rsidRPr="001C2942">
        <w:t xml:space="preserve"> therefore making them more suitable f</w:t>
      </w:r>
      <w:r w:rsidR="00142C10" w:rsidRPr="001C2942">
        <w:t>or industrial scale production. Hence</w:t>
      </w:r>
      <w:r w:rsidR="005619E0" w:rsidRPr="001C2942">
        <w:t xml:space="preserve">, this analysis </w:t>
      </w:r>
      <w:r w:rsidR="00142C10" w:rsidRPr="001C2942">
        <w:t>is intended to</w:t>
      </w:r>
      <w:r w:rsidR="005619E0" w:rsidRPr="001C2942">
        <w:t xml:space="preserve"> </w:t>
      </w:r>
      <w:r w:rsidR="00142C10" w:rsidRPr="001C2942">
        <w:t>pave</w:t>
      </w:r>
      <w:r w:rsidR="005619E0" w:rsidRPr="001C2942">
        <w:t xml:space="preserve"> the way to industrialisation of perovskite. </w:t>
      </w:r>
      <w:r w:rsidR="006A073C" w:rsidRPr="001C2942">
        <w:t>For this</w:t>
      </w:r>
      <w:r w:rsidR="006A073C" w:rsidRPr="001B5503">
        <w:t xml:space="preserve"> purpose, four different combinations of the inorganic cation C</w:t>
      </w:r>
      <w:r w:rsidR="00D83BC8" w:rsidRPr="001B5503">
        <w:t>s</w:t>
      </w:r>
      <w:r w:rsidR="006A073C" w:rsidRPr="001B5503">
        <w:t xml:space="preserve"> with the </w:t>
      </w:r>
      <w:r w:rsidR="002E0CCA" w:rsidRPr="001B5503">
        <w:t xml:space="preserve">most </w:t>
      </w:r>
      <w:r w:rsidR="006A073C" w:rsidRPr="001B5503">
        <w:t xml:space="preserve">used organic cations </w:t>
      </w:r>
      <w:r w:rsidR="00D83BC8" w:rsidRPr="001B5503">
        <w:t>FA</w:t>
      </w:r>
      <w:r w:rsidR="006A073C" w:rsidRPr="001B5503">
        <w:t xml:space="preserve"> and M</w:t>
      </w:r>
      <w:r w:rsidR="00D83BC8" w:rsidRPr="001B5503">
        <w:t>A using Br/I anions</w:t>
      </w:r>
      <w:r w:rsidR="006A073C" w:rsidRPr="001B5503">
        <w:t xml:space="preserve"> were compared with the canonical </w:t>
      </w:r>
      <w:r w:rsidR="00D83BC8" w:rsidRPr="001B5503">
        <w:t>MAPbI</w:t>
      </w:r>
      <w:r w:rsidR="00D83BC8" w:rsidRPr="001B5503">
        <w:rPr>
          <w:vertAlign w:val="subscript"/>
        </w:rPr>
        <w:t>3</w:t>
      </w:r>
      <w:r w:rsidR="006A073C" w:rsidRPr="001B5503">
        <w:t xml:space="preserve"> perovskite. </w:t>
      </w:r>
      <w:r w:rsidR="000C1677" w:rsidRPr="001B5503">
        <w:t>I</w:t>
      </w:r>
      <w:r w:rsidR="00F95007" w:rsidRPr="001B5503">
        <w:t xml:space="preserve">mpacts generated by the perovskite layer </w:t>
      </w:r>
      <w:r w:rsidR="00D83BC8" w:rsidRPr="001B5503">
        <w:t>were assessed from cradle to ga</w:t>
      </w:r>
      <w:r w:rsidR="00B25DBA" w:rsidRPr="001B5503">
        <w:t>t</w:t>
      </w:r>
      <w:r w:rsidR="00F95007" w:rsidRPr="001B5503">
        <w:t>e</w:t>
      </w:r>
      <w:r w:rsidR="00F255D3" w:rsidRPr="001B5503">
        <w:t xml:space="preserve"> using</w:t>
      </w:r>
      <w:r w:rsidR="000C1677" w:rsidRPr="001B5503">
        <w:t xml:space="preserve"> LCA </w:t>
      </w:r>
      <w:r w:rsidR="00FE5755" w:rsidRPr="001B5503">
        <w:t>as tool</w:t>
      </w:r>
      <w:r w:rsidR="00F95007" w:rsidRPr="001B5503">
        <w:t>.</w:t>
      </w:r>
      <w:r w:rsidR="003259DC">
        <w:t xml:space="preserve"> </w:t>
      </w:r>
      <w:r w:rsidR="00132B4E" w:rsidRPr="001B5503">
        <w:t>A functional unit of 1 cm</w:t>
      </w:r>
      <w:r w:rsidR="00132B4E" w:rsidRPr="001B5503">
        <w:rPr>
          <w:vertAlign w:val="superscript"/>
        </w:rPr>
        <w:t>2</w:t>
      </w:r>
      <w:r w:rsidR="00132B4E" w:rsidRPr="001B5503">
        <w:t xml:space="preserve"> of PSC was chosen as representative for the comparison of several compositions of perovskite.</w:t>
      </w:r>
      <w:r w:rsidR="003259DC">
        <w:t xml:space="preserve"> </w:t>
      </w:r>
      <w:r w:rsidR="007A49AC" w:rsidRPr="001B5503">
        <w:t xml:space="preserve">It is </w:t>
      </w:r>
      <w:r w:rsidRPr="001B5503">
        <w:t>very important to highlight</w:t>
      </w:r>
      <w:r w:rsidR="007A49AC" w:rsidRPr="001B5503">
        <w:t xml:space="preserve"> that, this work solely assesses the perovskite </w:t>
      </w:r>
      <w:r w:rsidR="001D7705" w:rsidRPr="001B5503">
        <w:t xml:space="preserve">layer </w:t>
      </w:r>
      <w:r w:rsidR="007A49AC" w:rsidRPr="001B5503">
        <w:t>deposited, as the rest of the layers</w:t>
      </w:r>
      <w:r w:rsidR="00212419" w:rsidRPr="001B5503">
        <w:t xml:space="preserve"> (substrate, electron and hole selecting contacts...)</w:t>
      </w:r>
      <w:r w:rsidR="007A49AC" w:rsidRPr="001B5503">
        <w:t xml:space="preserve"> are considered to be </w:t>
      </w:r>
      <w:r w:rsidR="000C1677" w:rsidRPr="001B5503">
        <w:t xml:space="preserve">similar </w:t>
      </w:r>
      <w:r w:rsidR="00212419" w:rsidRPr="001B5503">
        <w:t>for all the analy</w:t>
      </w:r>
      <w:r w:rsidR="00685558" w:rsidRPr="001B5503">
        <w:t>s</w:t>
      </w:r>
      <w:r w:rsidR="00212419" w:rsidRPr="001B5503">
        <w:t xml:space="preserve">ed cases </w:t>
      </w:r>
      <w:r w:rsidR="000C1677" w:rsidRPr="001B5503">
        <w:t>and for that reason excluded from the LCA</w:t>
      </w:r>
      <w:r w:rsidR="00B25DBA" w:rsidRPr="001B5503">
        <w:t>.</w:t>
      </w:r>
      <w:r w:rsidR="0099656C" w:rsidRPr="001B5503">
        <w:fldChar w:fldCharType="begin" w:fldLock="1"/>
      </w:r>
      <w:r w:rsidR="00D67546">
        <w:instrText>ADDIN CSL_CITATION { "citationItems" : [ { "id" : "ITEM-1", "itemData" : { "ISBN" : "9056070037", "author" : [ { "dropping-particle" : "", "family" : "Consoli", "given" : "Frank", "non-dropping-particle" : "", "parse-names" : false, "suffix" : "" } ], "id" : "ITEM-1", "issued" : { "date-parts" : [ [ "1993" ] ] }, "number-of-pages" : "73", "publisher" : "Society of Environmental Toxicology and Chemistry", "publisher-place" : "Brussels, Belgium", "title" : "Guidelines for life-cycle assessment: a code of practice", "type" : "book" }, "uris" : [ "http://www.mendeley.com/documents/?uuid=e5f26a1d-545e-4cd0-a99e-a45aee010744" ] }, { "id" : "ITEM-2", "itemData" : { "DOI" : "10.1007/BF02986927", "ISSN" : "0944-1344", "container-title" : "Environmental Science and Pollution Research", "id" : "ITEM-2", "issue" : "1", "issued" : { "date-parts" : [ [ "1994", "1" ] ] }, "page" : "55-55", "title" : "Guidelines for Life-Cycle Assessment:", "type" : "article-journal", "volume" : "1" }, "uris" : [ "http://www.mendeley.com/documents/?uuid=5d972bcc-f9b3-40ce-981c-062e435a7f81" ] } ], "mendeley" : { "formattedCitation" : "&lt;sup&gt;41,42&lt;/sup&gt;", "plainTextFormattedCitation" : "41,42", "previouslyFormattedCitation" : "&lt;sup&gt;41,42&lt;/sup&gt;" }, "properties" : {  }, "schema" : "https://github.com/citation-style-language/schema/raw/master/csl-citation.json" }</w:instrText>
      </w:r>
      <w:r w:rsidR="0099656C" w:rsidRPr="001B5503">
        <w:fldChar w:fldCharType="separate"/>
      </w:r>
      <w:r w:rsidR="00D67546" w:rsidRPr="00D67546">
        <w:rPr>
          <w:noProof/>
          <w:vertAlign w:val="superscript"/>
        </w:rPr>
        <w:t>41,42</w:t>
      </w:r>
      <w:r w:rsidR="0099656C" w:rsidRPr="001B5503">
        <w:fldChar w:fldCharType="end"/>
      </w:r>
      <w:r w:rsidR="003259DC">
        <w:t xml:space="preserve"> </w:t>
      </w:r>
      <w:r w:rsidRPr="001B5503">
        <w:t>A detailed effect of these other parts of the cell can be found in our previous LCA study</w:t>
      </w:r>
      <w:r w:rsidR="00E86FF2" w:rsidRPr="001B5503">
        <w:t>.</w:t>
      </w:r>
      <w:r w:rsidR="0099656C" w:rsidRPr="001B5503">
        <w:fldChar w:fldCharType="begin" w:fldLock="1"/>
      </w:r>
      <w:r w:rsidR="00D67546">
        <w:instrText>ADDIN CSL_CITATION { "citationItems" : [ { "id" : "ITEM-1", "itemData" : { "DOI" : "10.1016/j.solmat.2017.11.008", "ISSN" : "09270248", "abstract" : "Abstract The environmental performance of four different device assembly procedures based on hybrid halide perovskite solar cell (PSC) were assessed from cradle to grave using life cycle assessment (LCA) methodology. In addition, a new environmental indicator was defined to measure the time evolution of an impact category, specifically in this case, human toxicity cancer payback time. PSCs procedures accounted for the probably three more used basic recipes for laboratory perovskite deposition: 1) spin coating of stoichiometric precursor solution, 2) spin coating of precursor solution using lead chloride precursor and 3) the two step deposition method. Also, the two most widely used substrate configurations (planar and mesoporous substrate)were considered. LCA included three realistic scenarios for the end of life: 1) residual landfill, 2) reuse and residual landfill and 3) reuse and recycling. The remaining variable parameters to assemble the device were fixed in common for all four devices, which were the major responsible of the whole PSC impact. Lead of PSCs had no significant contribution in environmental impacts. Beyond shared procedure steps, impacts generated by the two-step method and the use of mesostructured type substrate were higher. End of life scenario with reuse and recycling improved the toxicity impact categories.", "author" : [ { "dropping-particle" : "", "family" : "Alberola-Borr\u00e0s", "given" : "Jaume-Adri\u00e0", "non-dropping-particle" : "", "parse-names" : false, "suffix" : "" }, { "dropping-particle" : "", "family" : "Vidal", "given" : "Rosario", "non-dropping-particle" : "", "parse-names" : false, "suffix" : "" }, { "dropping-particle" : "", "family" : "Ju\u00e1rez-P\u00e9rez", "given" : "Emilio J", "non-dropping-particle" : "", "parse-names" : false, "suffix" : "" }, { "dropping-particle" : "", "family" : "Mas-Marz\u00e1", "given" : "Elena", "non-dropping-particle" : "", "parse-names" : false, "suffix" : "" }, { "dropping-particle" : "", "family" : "Guerrero", "given" : "Antonio", "non-dropping-particle" : "", "parse-names" : false, "suffix" : "" }, { "dropping-particle" : "", "family" : "Mora-Ser\u00f3", "given" : "Iv\u00e1n", "non-dropping-particle" : "", "parse-names" : false, "suffix" : "" } ], "container-title" : "Solar Energy Materials and Solar Cells", "id" : "ITEM-1", "issued" : { "date-parts" : [ [ "2018", "6" ] ] }, "page" : "169-177", "title" : "Relative impacts of methylammonium lead triiodide perovskite solar cells based on life cycle assessment", "type" : "article-journal", "volume" : "179" }, "uris" : [ "http://www.mendeley.com/documents/?uuid=321e7fc6-be6f-4fdf-b3d9-3036e9649bcb" ] } ], "mendeley" : { "formattedCitation" : "&lt;sup&gt;35&lt;/sup&gt;", "plainTextFormattedCitation" : "35", "previouslyFormattedCitation" : "&lt;sup&gt;35&lt;/sup&gt;" }, "properties" : {  }, "schema" : "https://github.com/citation-style-language/schema/raw/master/csl-citation.json" }</w:instrText>
      </w:r>
      <w:r w:rsidR="0099656C" w:rsidRPr="001B5503">
        <w:fldChar w:fldCharType="separate"/>
      </w:r>
      <w:r w:rsidR="00D67546" w:rsidRPr="00D67546">
        <w:rPr>
          <w:noProof/>
          <w:vertAlign w:val="superscript"/>
        </w:rPr>
        <w:t>35</w:t>
      </w:r>
      <w:r w:rsidR="0099656C" w:rsidRPr="001B5503">
        <w:fldChar w:fldCharType="end"/>
      </w:r>
      <w:r w:rsidR="003259DC">
        <w:t xml:space="preserve"> </w:t>
      </w:r>
      <w:r w:rsidR="00106EF7" w:rsidRPr="001B5503">
        <w:t>The co</w:t>
      </w:r>
      <w:r w:rsidR="008A7E31" w:rsidRPr="001B5503">
        <w:t>rresponding efficiencies and</w:t>
      </w:r>
      <w:r w:rsidR="00106EF7" w:rsidRPr="001B5503">
        <w:t xml:space="preserve"> lifetimes </w:t>
      </w:r>
      <w:r w:rsidR="008A7E31" w:rsidRPr="001B5503">
        <w:t xml:space="preserve">of the PSCs made of the five combinations of perovskite </w:t>
      </w:r>
      <w:r w:rsidR="00106EF7" w:rsidRPr="001B5503">
        <w:t xml:space="preserve">were </w:t>
      </w:r>
      <w:r w:rsidR="008A7E31" w:rsidRPr="001B5503">
        <w:t>extracted from the</w:t>
      </w:r>
      <w:r w:rsidR="00106EF7" w:rsidRPr="001B5503">
        <w:t xml:space="preserve"> works</w:t>
      </w:r>
      <w:r w:rsidR="008A7E31" w:rsidRPr="001B5503">
        <w:t xml:space="preserve"> in which their syntheses </w:t>
      </w:r>
      <w:r w:rsidR="00764D2F" w:rsidRPr="001B5503">
        <w:t xml:space="preserve">are </w:t>
      </w:r>
      <w:r w:rsidR="008A7E31" w:rsidRPr="001B5503">
        <w:t>reported</w:t>
      </w:r>
      <w:r w:rsidR="00E86FF2" w:rsidRPr="001B5503">
        <w:t>.</w:t>
      </w:r>
      <w:r w:rsidR="0099656C" w:rsidRPr="001B5503">
        <w:fldChar w:fldCharType="begin" w:fldLock="1"/>
      </w:r>
      <w:r w:rsidR="00D67546">
        <w:instrText>ADDIN CSL_CITATION { "citationItems" : [ { "id" : "ITEM-1", "itemData" : { "DOI" : "10.1039/c3ta12681a", "ISSN" : "2050-7488", "abstract" : "For using 2,2\u2032,7,7\u2032-tetrakis(N,N\u2032-di-p- methoxyphenylamine)-9,9\u2032-spirobifluorene (spiro-OMeTAD) as a hole conductor in solar cells, it is necessary to improve its charge-transport properties through electrochemical doping. With the aim of fabricating efficient mesoscopic TiO2/CH3NH3PbI3 heterojunction solar cells, we used tris[2-(1H-pyrazol-1-yl)-4-tert- butylpyridine)cobalt(iii) tris(bis(trifluoromethylsulfonyl) imide)] (FK209) as a p-dopant for spiro-OMeTAD. The mixture of spiro-OMeTAD, FK209, lithium bis(trifluoromethylsulfonyl)imide (Li-TFSI), and 4-tert-butylpyridine (TBP) exhibited significantly higher performance than mixtures of pristine spiro-OMeTAD, spiro-OMeTAD, and FK209, and spiro-OMeTAD, Li-TFSI, and TBP. Such a synergistic effect between the Co-complex and Li-TFSI in conjunction with spiro-OMeTAD effectively improved the power conversion efficiency (PCE) of the fabricated solar cells. As a result, we achieved PCE of 10.4%, measured under standard solar conditions (AM 1.5G, 100 mW cm-2). \u00a9 2013 The Royal Society of Chemistry.", "author" : [ { "dropping-particle" : "", "family" : "Noh", "given" : "Jun Hong", "non-dropping-particle" : "", "parse-names" : false, "suffix" : "" }, { "dropping-particle" : "", "family" : "Jeon", "given" : "Nam Joong", "non-dropping-particle" : "", "parse-names" : false, "suffix" : "" }, { "dropping-particle" : "", "family" : "Choi", "given" : "Yong Chan", "non-dropping-particle" : "", "parse-names" : false, "suffix" : "" }, { "dropping-particle" : "", "family" : "Nazeeruddin", "given" : "Md. K.", "non-dropping-particle" : "", "parse-names" : false, "suffix" : "" }, { "dropping-particle" : "", "family" : "Gr\u00e4tzel", "given" : "Michael", "non-dropping-particle" : "", "parse-names" : false, "suffix" : "" }, { "dropping-particle" : "Il", "family" : "Seok", "given" : "Sang", "non-dropping-particle" : "", "parse-names" : false, "suffix" : "" } ], "container-title" : "Journal of Materials Chemistry A", "id" : "ITEM-1", "issue" : "38", "issued" : { "date-parts" : [ [ "2013" ] ] }, "page" : "11842", "title" : "Nanostructured TiO2/CH3NH3PbI3 heterojunction solar cells employing spiro-OMeTAD/Co-complex as hole-transporting material", "type" : "article-journal", "volume" : "1" }, "uris" : [ "http://www.mendeley.com/documents/?uuid=33519ca2-3a48-4953-b0cd-e6c55ccfeb73" ] }, { "id" : "ITEM-2",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"ITEM-2",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"&lt;sup&gt;15,40&lt;/sup&gt;", "plainTextFormattedCitation" : "15,40", "previouslyFormattedCitation" : "&lt;sup&gt;15,40&lt;/sup&gt;" }, "properties" : {  }, "schema" : "https://github.com/citation-style-language/schema/raw/master/csl-citation.json" }</w:instrText>
      </w:r>
      <w:r w:rsidR="0099656C" w:rsidRPr="001B5503">
        <w:fldChar w:fldCharType="separate"/>
      </w:r>
      <w:r w:rsidR="00D67546" w:rsidRPr="00D67546">
        <w:rPr>
          <w:noProof/>
          <w:vertAlign w:val="superscript"/>
        </w:rPr>
        <w:t>15,40</w:t>
      </w:r>
      <w:r w:rsidR="0099656C" w:rsidRPr="001B5503">
        <w:fldChar w:fldCharType="end"/>
      </w:r>
    </w:p>
    <w:p w14:paraId="3D28F701" w14:textId="77777777" w:rsidR="004202E2" w:rsidRPr="001B5503" w:rsidRDefault="004202E2" w:rsidP="004202E2">
      <w:pPr>
        <w:pStyle w:val="Ttulo2"/>
      </w:pPr>
      <w:bookmarkStart w:id="2" w:name="_Ref510789872"/>
      <w:r w:rsidRPr="001B5503">
        <w:t>System boundary</w:t>
      </w:r>
      <w:bookmarkEnd w:id="2"/>
    </w:p>
    <w:p w14:paraId="6798ACD0" w14:textId="77777777" w:rsidR="008B78D2" w:rsidRPr="001B5503" w:rsidRDefault="003B4838" w:rsidP="008B78D2">
      <w:r w:rsidRPr="001B5503">
        <w:t xml:space="preserve">In order to compare the environmental performance of </w:t>
      </w:r>
      <w:r w:rsidR="00134F16" w:rsidRPr="001B5503">
        <w:t xml:space="preserve">the highly efficient and more stable </w:t>
      </w:r>
      <w:r w:rsidR="001D7705" w:rsidRPr="001B5503">
        <w:t>multiple</w:t>
      </w:r>
      <w:r w:rsidR="00134F16" w:rsidRPr="001B5503">
        <w:t xml:space="preserve"> cation</w:t>
      </w:r>
      <w:r w:rsidR="001D7705" w:rsidRPr="001B5503">
        <w:t>/anion</w:t>
      </w:r>
      <w:r w:rsidR="00134F16" w:rsidRPr="001B5503">
        <w:t xml:space="preserve"> perovskite with a canonical perovskite,</w:t>
      </w:r>
      <w:r w:rsidR="003E09B4" w:rsidRPr="001B5503">
        <w:t xml:space="preserve"> an LCA was</w:t>
      </w:r>
      <w:r w:rsidR="00F60008" w:rsidRPr="001B5503">
        <w:t xml:space="preserve"> conducted f</w:t>
      </w:r>
      <w:r w:rsidR="00212419" w:rsidRPr="001B5503">
        <w:t>rom cradle to ga</w:t>
      </w:r>
      <w:r w:rsidR="004415D2" w:rsidRPr="001B5503">
        <w:t>t</w:t>
      </w:r>
      <w:r w:rsidR="00F60008" w:rsidRPr="001B5503">
        <w:t>e.</w:t>
      </w:r>
      <w:r w:rsidR="00D55E0D" w:rsidRPr="001B5503">
        <w:t xml:space="preserve"> Therefore, the steps of the life cycle of PSCs included from the extraction of raw materials to the deposition of the perovskite layer.</w:t>
      </w:r>
      <w:r w:rsidR="003E09B4" w:rsidRPr="001B5503">
        <w:t xml:space="preserve"> As in this work just the perovskite layer is studied, the system ends when every </w:t>
      </w:r>
      <w:r w:rsidR="00CE57A1" w:rsidRPr="001B5503">
        <w:t>step</w:t>
      </w:r>
      <w:r w:rsidR="003259DC">
        <w:t xml:space="preserve"> </w:t>
      </w:r>
      <w:r w:rsidR="00E97DED" w:rsidRPr="001B5503">
        <w:t>concerning</w:t>
      </w:r>
      <w:r w:rsidR="003E09B4" w:rsidRPr="001B5503">
        <w:t xml:space="preserve"> the deposition of the perovskite layer is accounted</w:t>
      </w:r>
      <w:r w:rsidR="00E97DED" w:rsidRPr="001B5503">
        <w:t xml:space="preserve">. </w:t>
      </w:r>
      <w:r w:rsidR="00457CFE" w:rsidRPr="001B5503">
        <w:t xml:space="preserve">Although perovskite is synthesised </w:t>
      </w:r>
      <w:r w:rsidR="00C23DC2" w:rsidRPr="001B5503">
        <w:t xml:space="preserve">generally </w:t>
      </w:r>
      <w:r w:rsidR="00457CFE" w:rsidRPr="001B5503">
        <w:t xml:space="preserve">in a nitrogen glove box, its energetic consumption and the nitrogen it uses is dismissed, as it participates in both synthesis processes. </w:t>
      </w:r>
      <w:r w:rsidR="00001010" w:rsidRPr="001B5503">
        <w:t xml:space="preserve">Thereby, the deposition methods modelled for this work are described in </w:t>
      </w:r>
      <w:r w:rsidR="0099656C" w:rsidRPr="001B5503">
        <w:fldChar w:fldCharType="begin"/>
      </w:r>
      <w:r w:rsidR="00001010" w:rsidRPr="001B5503">
        <w:instrText xml:space="preserve"> REF _Ref472963039 \h </w:instrText>
      </w:r>
      <w:r w:rsidR="0099656C" w:rsidRPr="001B5503">
        <w:fldChar w:fldCharType="separate"/>
      </w:r>
      <w:r w:rsidR="008C5B92" w:rsidRPr="001B5503">
        <w:t>Figure 1</w:t>
      </w:r>
      <w:r w:rsidR="0099656C" w:rsidRPr="001B5503">
        <w:fldChar w:fldCharType="end"/>
      </w:r>
      <w:r w:rsidR="00001010" w:rsidRPr="001B5503">
        <w:t>.</w:t>
      </w:r>
    </w:p>
    <w:p w14:paraId="672AA464" w14:textId="77777777" w:rsidR="008B78D2" w:rsidRPr="001B5503" w:rsidRDefault="008B78D2" w:rsidP="008B78D2">
      <w:r w:rsidRPr="001B5503">
        <w:t>As well as in the work of Saliba et al</w:t>
      </w:r>
      <w:r w:rsidR="004415D2" w:rsidRPr="001B5503">
        <w:t>,</w:t>
      </w:r>
      <w:r w:rsidR="0099656C" w:rsidRPr="001B5503">
        <w:fldChar w:fldCharType="begin" w:fldLock="1"/>
      </w:r>
      <w:r w:rsidR="0020768A" w:rsidRPr="001B5503">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"suppress-author" : 1,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99656C" w:rsidRPr="001B5503">
        <w:fldChar w:fldCharType="separate"/>
      </w:r>
      <w:r w:rsidR="009E3660" w:rsidRPr="001B5503">
        <w:rPr>
          <w:noProof/>
          <w:vertAlign w:val="superscript"/>
        </w:rPr>
        <w:t>15</w:t>
      </w:r>
      <w:r w:rsidR="0099656C" w:rsidRPr="001B5503">
        <w:fldChar w:fldCharType="end"/>
      </w:r>
      <w:r w:rsidRPr="001B5503">
        <w:t xml:space="preserve"> a deposition with the anti-solvent method was simulated, which is illustrated in </w:t>
      </w:r>
      <w:r w:rsidR="0099656C" w:rsidRPr="001B5503">
        <w:fldChar w:fldCharType="begin"/>
      </w:r>
      <w:r w:rsidRPr="001B5503">
        <w:instrText xml:space="preserve"> REF _Ref472963039 \h </w:instrText>
      </w:r>
      <w:r w:rsidR="0099656C" w:rsidRPr="001B5503">
        <w:fldChar w:fldCharType="separate"/>
      </w:r>
      <w:r w:rsidR="008C5B92" w:rsidRPr="001B5503">
        <w:t>Figure 1</w:t>
      </w:r>
      <w:r w:rsidR="0099656C" w:rsidRPr="001B5503">
        <w:fldChar w:fldCharType="end"/>
      </w:r>
      <w:r w:rsidRPr="001B5503">
        <w:t xml:space="preserve">a. </w:t>
      </w:r>
      <w:r w:rsidR="007E122A" w:rsidRPr="001B5503">
        <w:t xml:space="preserve">This method cannot easily </w:t>
      </w:r>
      <w:r w:rsidR="006C6408" w:rsidRPr="001B5503">
        <w:t xml:space="preserve">be </w:t>
      </w:r>
      <w:r w:rsidR="007E122A" w:rsidRPr="001B5503">
        <w:t>up</w:t>
      </w:r>
      <w:r w:rsidR="00513103" w:rsidRPr="001B5503">
        <w:t>-</w:t>
      </w:r>
      <w:r w:rsidR="007E122A" w:rsidRPr="001B5503">
        <w:t>scaled for industrial applications</w:t>
      </w:r>
      <w:r w:rsidR="004415D2" w:rsidRPr="001B5503">
        <w:t>,</w:t>
      </w:r>
      <w:r w:rsidR="0099656C" w:rsidRPr="001B5503">
        <w:fldChar w:fldCharType="begin" w:fldLock="1"/>
      </w:r>
      <w:r w:rsidR="00D67546">
        <w:instrText>ADDIN CSL_CITATION { "citationItems" : [ { "id" : "ITEM-1", "itemData" : { "DOI" : "10.1002/adfm.201703835", "ISSN" : "1616301X", "abstract" : "Mixed cation hybrid perovskites such as CsxFA1- xPbI3 are promising materials for solar cell applications, due to their excellent photoelectronic properties and improved stability. Although power conversion efficiencies (PCEs) as high as 18.16% have been reported, devices are mostly processed by the anti-solvent method, which is difficult for further scaling-up. Here, a method to fabricate CsxFA1- xPbI3 by performing Cs cation exchange on hybrid chemical vapor deposition grown FAPbI3 with the Cs+ ratio adjustable from 0 to 24% is reported. The champion perovskite module based on Cs0.07FA0.93PbI3 with an active area of 12.0 cm2 shows a module PCE of 14.6% and PCE loss/area of 0.17% cm-2, demonstrating the significant advantage of this method toward scaling-up. This in-depth study shows that when the perovskite films prepared by this method contain 6.6% Cs+ in bulk and 15.0% at the surface, that is, Cs0.07FA0.93PbI3, solar cell devices show not only significantly increased PCEs but also substantially improved stability, due to favorable energy level alignment with TiO2 electron transport layer and spiro-MeOTAD hole transport layer, increased grain size, and improved perovskite phase stability.", "author" : [ { "dropping-particle" : "", "family" : "Jiang", "given" : "Yan", "non-dropping-particle" : "", "parse-names" : false, "suffix" : "" }, { "dropping-particle" : "", "family" : "Leyden", "given" : "Matthew R.", "non-dropping-particle" : "", "parse-names" : false, "suffix" : "" }, { "dropping-particle" : "", "family" : "Qiu", "given" : "Longbin", "non-dropping-particle" : "", "parse-names" : false, "suffix" : "" }, { "dropping-particle" : "", "family" : "Wang", "given" : "Shenghao", "non-dropping-particle" : "", "parse-names" : false, "suffix" : "" }, { "dropping-particle" : "", "family" : "Ono", "given" : "Luis K.", "non-dropping-particle" : "", "parse-names" : false, "suffix" : "" }, { "dropping-particle" : "", "family" : "Wu", "given" : "Zhifang", "non-dropping-particle" : "", "parse-names" : false, "suffix" : "" }, { "dropping-particle" : "", "family" : "Juarez-Perez", "given" : "Emilio J.", "non-dropping-particle" : "", "parse-names" : false, "suffix" : "" }, { "dropping-particle" : "", "family" : "Qi", "given" : "Yabing", "non-dropping-particle" : "", "parse-names" : false, "suffix" : "" } ], "container-title" : "Advanced Functional Materials", "id" : "ITEM-1", "issue" : "1", "issued" : { "date-parts" : [ [ "2018", "1" ] ] }, "page" : "1703835", "title" : "Combination of Hybrid CVD and Cation Exchange for Upscaling Cs-Substituted Mixed Cation Perovskite Solar Cells with High Efficiency and Stability", "type" : "article-journal", "volume" : "28" }, "uris" : [ "http://www.mendeley.com/documents/?uuid=27bb696d-4f6c-4a9a-a499-babc36922eff" ] } ], "mendeley" : { "formattedCitation" : "&lt;sup&gt;43&lt;/sup&gt;", "plainTextFormattedCitation" : "43", "previouslyFormattedCitation" : "&lt;sup&gt;43&lt;/sup&gt;" }, "properties" : {  }, "schema" : "https://github.com/citation-style-language/schema/raw/master/csl-citation.json" }</w:instrText>
      </w:r>
      <w:r w:rsidR="0099656C" w:rsidRPr="001B5503">
        <w:fldChar w:fldCharType="separate"/>
      </w:r>
      <w:r w:rsidR="00D67546" w:rsidRPr="00D67546">
        <w:rPr>
          <w:noProof/>
          <w:vertAlign w:val="superscript"/>
        </w:rPr>
        <w:t>43</w:t>
      </w:r>
      <w:r w:rsidR="0099656C" w:rsidRPr="001B5503">
        <w:fldChar w:fldCharType="end"/>
      </w:r>
      <w:r w:rsidR="007E122A" w:rsidRPr="001B5503">
        <w:t xml:space="preserve"> however we have decided to include </w:t>
      </w:r>
      <w:r w:rsidR="004415D2" w:rsidRPr="001B5503">
        <w:t xml:space="preserve">it </w:t>
      </w:r>
      <w:r w:rsidR="007E122A" w:rsidRPr="001B5503">
        <w:t xml:space="preserve">due to </w:t>
      </w:r>
      <w:r w:rsidR="004415D2" w:rsidRPr="001B5503">
        <w:t>its</w:t>
      </w:r>
      <w:r w:rsidR="007E122A" w:rsidRPr="001B5503">
        <w:t xml:space="preserve"> extend</w:t>
      </w:r>
      <w:r w:rsidR="006C6408" w:rsidRPr="001B5503">
        <w:t>ed</w:t>
      </w:r>
      <w:r w:rsidR="007E122A" w:rsidRPr="001B5503">
        <w:t xml:space="preserve"> use and to determine its impact from the point of view of LCA. In this study</w:t>
      </w:r>
      <w:r w:rsidR="006C6408" w:rsidRPr="001B5503">
        <w:t>,</w:t>
      </w:r>
      <w:r w:rsidR="007E122A" w:rsidRPr="001B5503">
        <w:t xml:space="preserve"> for a perovskite deposition with anti-solvent we consider</w:t>
      </w:r>
      <w:r w:rsidRPr="001B5503">
        <w:t xml:space="preserve"> a first step of spin-coating at 1000 rpm for 10 s of the reagents with a mixture of (4:1) DMF and DMSO in volume. This step was followed by another spin-coating step at 6000 rpm for 20 s, in which 100 µl of CB were dropped onto the mixture 5 s </w:t>
      </w:r>
      <w:r w:rsidRPr="001B5503">
        <w:lastRenderedPageBreak/>
        <w:t>before the end of the step. Lastly, the substrate was annealed for 1 h at 100 ºC.</w:t>
      </w:r>
      <w:r w:rsidR="003259DC">
        <w:t xml:space="preserve"> </w:t>
      </w:r>
      <w:r w:rsidRPr="001B5503">
        <w:t>Energy consumption was directly measured from laboratory devices.</w:t>
      </w:r>
    </w:p>
    <w:p w14:paraId="69F181B1" w14:textId="77777777" w:rsidR="008B78D2" w:rsidRPr="001B5503" w:rsidRDefault="008B78D2" w:rsidP="004722C4">
      <w:r w:rsidRPr="001B5503">
        <w:t xml:space="preserve">The deposition of the canonical perovskite, which is depicted in </w:t>
      </w:r>
      <w:r w:rsidR="00343A6E">
        <w:fldChar w:fldCharType="begin"/>
      </w:r>
      <w:r w:rsidR="00343A6E">
        <w:instrText xml:space="preserve"> REF _Ref472963039 \h  \* MERGEFORMAT </w:instrText>
      </w:r>
      <w:r w:rsidR="00343A6E">
        <w:fldChar w:fldCharType="separate"/>
      </w:r>
      <w:r w:rsidR="008C5B92" w:rsidRPr="001B5503">
        <w:t>Figure 1</w:t>
      </w:r>
      <w:r w:rsidR="00343A6E">
        <w:fldChar w:fldCharType="end"/>
      </w:r>
      <w:r w:rsidRPr="001B5503">
        <w:t xml:space="preserve">b, comprised a first </w:t>
      </w:r>
      <w:r w:rsidR="003164FB" w:rsidRPr="001B5503">
        <w:t xml:space="preserve">stirring of the </w:t>
      </w:r>
      <w:r w:rsidR="002E7407" w:rsidRPr="001B5503">
        <w:t>mixture of</w:t>
      </w:r>
      <w:r w:rsidRPr="001B5503">
        <w:t xml:space="preserve"> MAI and PbI</w:t>
      </w:r>
      <w:r w:rsidRPr="001B5503">
        <w:rPr>
          <w:vertAlign w:val="subscript"/>
        </w:rPr>
        <w:t>2</w:t>
      </w:r>
      <w:r w:rsidRPr="001B5503">
        <w:t xml:space="preserve"> reagents </w:t>
      </w:r>
      <w:r w:rsidR="002E7407" w:rsidRPr="001B5503">
        <w:t>in</w:t>
      </w:r>
      <w:r w:rsidR="003259DC">
        <w:t xml:space="preserve"> </w:t>
      </w:r>
      <w:r w:rsidR="00467F9C" w:rsidRPr="001B5503">
        <w:t>GBL</w:t>
      </w:r>
      <w:r w:rsidRPr="001B5503">
        <w:t xml:space="preserve"> at </w:t>
      </w:r>
      <w:r w:rsidR="002E7407" w:rsidRPr="001B5503">
        <w:t>room temperature</w:t>
      </w:r>
      <w:r w:rsidRPr="001B5503">
        <w:t xml:space="preserve"> for 1</w:t>
      </w:r>
      <w:r w:rsidR="002E7407" w:rsidRPr="001B5503">
        <w:t>0</w:t>
      </w:r>
      <w:r w:rsidR="003259DC">
        <w:t xml:space="preserve"> </w:t>
      </w:r>
      <w:r w:rsidR="002E7407" w:rsidRPr="001B5503">
        <w:t>minutes and 30 minutes at 70 ºC</w:t>
      </w:r>
      <w:r w:rsidRPr="001B5503">
        <w:t xml:space="preserve">. Then, the mixture was spin-coated at </w:t>
      </w:r>
      <w:r w:rsidR="002E7407" w:rsidRPr="001B5503">
        <w:t>5</w:t>
      </w:r>
      <w:r w:rsidRPr="001B5503">
        <w:t xml:space="preserve">00 </w:t>
      </w:r>
      <w:r w:rsidR="002E7407" w:rsidRPr="001B5503">
        <w:t xml:space="preserve">for 5 s </w:t>
      </w:r>
      <w:r w:rsidRPr="001B5503">
        <w:t xml:space="preserve">and </w:t>
      </w:r>
      <w:r w:rsidR="002E7407" w:rsidRPr="001B5503">
        <w:t>2</w:t>
      </w:r>
      <w:r w:rsidRPr="001B5503">
        <w:t>000 rpm</w:t>
      </w:r>
      <w:r w:rsidR="002E7407" w:rsidRPr="001B5503">
        <w:t xml:space="preserve"> for</w:t>
      </w:r>
      <w:r w:rsidRPr="001B5503">
        <w:t xml:space="preserve"> 60 s. Finally, the </w:t>
      </w:r>
      <w:r w:rsidR="002E7407" w:rsidRPr="001B5503">
        <w:t>film</w:t>
      </w:r>
      <w:r w:rsidRPr="001B5503">
        <w:t xml:space="preserve"> was </w:t>
      </w:r>
      <w:r w:rsidR="002E7407" w:rsidRPr="001B5503">
        <w:t>heat</w:t>
      </w:r>
      <w:r w:rsidRPr="001B5503">
        <w:t xml:space="preserve">ed for </w:t>
      </w:r>
      <w:r w:rsidR="002E7407" w:rsidRPr="001B5503">
        <w:t>60</w:t>
      </w:r>
      <w:r w:rsidRPr="001B5503">
        <w:t xml:space="preserve"> min</w:t>
      </w:r>
      <w:r w:rsidR="002E7407" w:rsidRPr="001B5503">
        <w:t>utes</w:t>
      </w:r>
      <w:r w:rsidRPr="001B5503">
        <w:t xml:space="preserve"> at 100 ºC.</w:t>
      </w:r>
      <w:r w:rsidR="006922BF" w:rsidRPr="001B5503">
        <w:t xml:space="preserve"> This procedure was extracted from</w:t>
      </w:r>
      <w:r w:rsidR="007E122A" w:rsidRPr="001B5503">
        <w:t xml:space="preserve"> our</w:t>
      </w:r>
      <w:r w:rsidR="00570614" w:rsidRPr="001B5503">
        <w:t xml:space="preserve"> previous assessment</w:t>
      </w:r>
      <w:r w:rsidR="004415D2" w:rsidRPr="001B5503">
        <w:t>.</w:t>
      </w:r>
      <w:r w:rsidR="0099656C" w:rsidRPr="001B5503">
        <w:fldChar w:fldCharType="begin" w:fldLock="1"/>
      </w:r>
      <w:r w:rsidR="00D67546">
        <w:instrText>ADDIN CSL_CITATION { "citationItems" : [ { "id" : "ITEM-1", "itemData" : { "DOI" : "10.1016/j.solmat.2017.11.008", "ISSN" : "09270248", "abstract" : "Abstract The environmental performance of four different device assembly procedures based on hybrid halide perovskite solar cell (PSC) were assessed from cradle to grave using life cycle assessment (LCA) methodology. In addition, a new environmental indicator was defined to measure the time evolution of an impact category, specifically in this case, human toxicity cancer payback time. PSCs procedures accounted for the probably three more used basic recipes for laboratory perovskite deposition: 1) spin coating of stoichiometric precursor solution, 2) spin coating of precursor solution using lead chloride precursor and 3) the two step deposition method. Also, the two most widely used substrate configurations (planar and mesoporous substrate)were considered. LCA included three realistic scenarios for the end of life: 1) residual landfill, 2) reuse and residual landfill and 3) reuse and recycling. The remaining variable parameters to assemble the device were fixed in common for all four devices, which were the major responsible of the whole PSC impact. Lead of PSCs had no significant contribution in environmental impacts. Beyond shared procedure steps, impacts generated by the two-step method and the use of mesostructured type substrate were higher. End of life scenario with reuse and recycling improved the toxicity impact categories.", "author" : [ { "dropping-particle" : "", "family" : "Alberola-Borr\u00e0s", "given" : "Jaume-Adri\u00e0", "non-dropping-particle" : "", "parse-names" : false, "suffix" : "" }, { "dropping-particle" : "", "family" : "Vidal", "given" : "Rosario", "non-dropping-particle" : "", "parse-names" : false, "suffix" : "" }, { "dropping-particle" : "", "family" : "Ju\u00e1rez-P\u00e9rez", "given" : "Emilio J", "non-dropping-particle" : "", "parse-names" : false, "suffix" : "" }, { "dropping-particle" : "", "family" : "Mas-Marz\u00e1", "given" : "Elena", "non-dropping-particle" : "", "parse-names" : false, "suffix" : "" }, { "dropping-particle" : "", "family" : "Guerrero", "given" : "Antonio", "non-dropping-particle" : "", "parse-names" : false, "suffix" : "" }, { "dropping-particle" : "", "family" : "Mora-Ser\u00f3", "given" : "Iv\u00e1n", "non-dropping-particle" : "", "parse-names" : false, "suffix" : "" } ], "container-title" : "Solar Energy Materials and Solar Cells", "id" : "ITEM-1", "issued" : { "date-parts" : [ [ "2018", "6" ] ] }, "page" : "169-177", "title" : "Relative impacts of methylammonium lead triiodide perovskite solar cells based on life cycle assessment", "type" : "article-journal", "volume" : "179" }, "uris" : [ "http://www.mendeley.com/documents/?uuid=e606a05b-363e-4b76-bcf6-83ce3ea5d32d" ] } ], "mendeley" : { "formattedCitation" : "&lt;sup&gt;35&lt;/sup&gt;", "plainTextFormattedCitation" : "35", "previouslyFormattedCitation" : "&lt;sup&gt;35&lt;/sup&gt;" }, "properties" : {  }, "schema" : "https://github.com/citation-style-language/schema/raw/master/csl-citation.json" }</w:instrText>
      </w:r>
      <w:r w:rsidR="0099656C" w:rsidRPr="001B5503">
        <w:fldChar w:fldCharType="separate"/>
      </w:r>
      <w:r w:rsidR="00D67546" w:rsidRPr="00D67546">
        <w:rPr>
          <w:noProof/>
          <w:vertAlign w:val="superscript"/>
        </w:rPr>
        <w:t>35</w:t>
      </w:r>
      <w:r w:rsidR="0099656C" w:rsidRPr="001B5503">
        <w:fldChar w:fldCharType="end"/>
      </w:r>
    </w:p>
    <w:p w14:paraId="71095CAF" w14:textId="77777777" w:rsidR="00D626D4" w:rsidRPr="001B5503" w:rsidRDefault="00C31991" w:rsidP="00D626D4">
      <w:pPr>
        <w:keepNext/>
      </w:pPr>
      <w:r>
        <w:rPr>
          <w:noProof/>
          <w:lang w:val="es-ES_tradnl" w:eastAsia="es-ES_tradnl"/>
        </w:rPr>
        <w:drawing>
          <wp:inline distT="0" distB="0" distL="0" distR="0" wp14:anchorId="65FA9115" wp14:editId="589CC7AA">
            <wp:extent cx="5400040" cy="3742055"/>
            <wp:effectExtent l="0" t="0" r="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boundary_v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742055"/>
                    </a:xfrm>
                    <a:prstGeom prst="rect">
                      <a:avLst/>
                    </a:prstGeom>
                  </pic:spPr>
                </pic:pic>
              </a:graphicData>
            </a:graphic>
          </wp:inline>
        </w:drawing>
      </w:r>
    </w:p>
    <w:p w14:paraId="0F35894F" w14:textId="77777777" w:rsidR="004202E2" w:rsidRPr="001B5503" w:rsidRDefault="00D626D4" w:rsidP="00363920">
      <w:pPr>
        <w:pStyle w:val="Ttolfigura"/>
      </w:pPr>
      <w:bookmarkStart w:id="3" w:name="_Ref472963039"/>
      <w:r w:rsidRPr="001B5503">
        <w:t xml:space="preserve">Figure </w:t>
      </w:r>
      <w:r w:rsidR="0099656C" w:rsidRPr="001B5503">
        <w:fldChar w:fldCharType="begin"/>
      </w:r>
      <w:r w:rsidRPr="001B5503">
        <w:instrText xml:space="preserve"> SEQ Figure \* ARABIC </w:instrText>
      </w:r>
      <w:r w:rsidR="0099656C" w:rsidRPr="001B5503">
        <w:fldChar w:fldCharType="separate"/>
      </w:r>
      <w:r w:rsidR="008C5B92" w:rsidRPr="001B5503">
        <w:t>1</w:t>
      </w:r>
      <w:r w:rsidR="0099656C" w:rsidRPr="001B5503">
        <w:fldChar w:fldCharType="end"/>
      </w:r>
      <w:bookmarkEnd w:id="3"/>
      <w:r w:rsidR="007E122A" w:rsidRPr="001B5503">
        <w:t>.</w:t>
      </w:r>
      <w:r w:rsidR="003259DC">
        <w:t xml:space="preserve"> </w:t>
      </w:r>
      <w:r w:rsidRPr="001B5503">
        <w:rPr>
          <w:b w:val="0"/>
        </w:rPr>
        <w:t>System boundary of the steps involved in the deposition of the perovskite layer</w:t>
      </w:r>
      <w:r w:rsidR="00CD1795" w:rsidRPr="001B5503">
        <w:rPr>
          <w:b w:val="0"/>
        </w:rPr>
        <w:t xml:space="preserve"> of</w:t>
      </w:r>
      <w:r w:rsidR="004A46D0" w:rsidRPr="001B5503">
        <w:rPr>
          <w:b w:val="0"/>
        </w:rPr>
        <w:t xml:space="preserve"> a) </w:t>
      </w:r>
      <w:r w:rsidR="003B4838" w:rsidRPr="001B5503">
        <w:rPr>
          <w:b w:val="0"/>
        </w:rPr>
        <w:t xml:space="preserve">deposition route of the </w:t>
      </w:r>
      <w:r w:rsidR="00212419" w:rsidRPr="001B5503">
        <w:rPr>
          <w:b w:val="0"/>
        </w:rPr>
        <w:t>multi</w:t>
      </w:r>
      <w:r w:rsidR="003B4838" w:rsidRPr="001B5503">
        <w:rPr>
          <w:b w:val="0"/>
        </w:rPr>
        <w:t>ple cation</w:t>
      </w:r>
      <w:r w:rsidR="00212419" w:rsidRPr="001B5503">
        <w:rPr>
          <w:b w:val="0"/>
        </w:rPr>
        <w:t>/anion</w:t>
      </w:r>
      <w:r w:rsidR="003B4838" w:rsidRPr="001B5503">
        <w:rPr>
          <w:b w:val="0"/>
        </w:rPr>
        <w:t xml:space="preserve"> perovskite through the anti-solvent method and b) deposition route of the canonical perovskite through a simple spin-coating method</w:t>
      </w:r>
      <w:r w:rsidR="00CD1795" w:rsidRPr="001B5503">
        <w:rPr>
          <w:b w:val="0"/>
        </w:rPr>
        <w:t>.</w:t>
      </w:r>
    </w:p>
    <w:p w14:paraId="13E14630" w14:textId="77777777" w:rsidR="004202E2" w:rsidRPr="001B5503" w:rsidRDefault="004202E2" w:rsidP="004202E2">
      <w:pPr>
        <w:pStyle w:val="Ttulo2"/>
      </w:pPr>
      <w:bookmarkStart w:id="4" w:name="_Ref496862290"/>
      <w:r w:rsidRPr="001B5503">
        <w:t>Inventory</w:t>
      </w:r>
      <w:bookmarkEnd w:id="4"/>
    </w:p>
    <w:p w14:paraId="444E528A" w14:textId="77777777" w:rsidR="00D03428" w:rsidRPr="001B5503" w:rsidRDefault="00001010" w:rsidP="005669E4">
      <w:r w:rsidRPr="001B5503">
        <w:t>Herein</w:t>
      </w:r>
      <w:r w:rsidR="00741688" w:rsidRPr="001B5503">
        <w:t xml:space="preserve">, </w:t>
      </w:r>
      <w:r w:rsidR="002F7DCB" w:rsidRPr="001B5503">
        <w:t xml:space="preserve">combinations of the three cations </w:t>
      </w:r>
      <w:r w:rsidR="00212419" w:rsidRPr="001B5503">
        <w:t xml:space="preserve">and two anions </w:t>
      </w:r>
      <w:r w:rsidR="002F7DCB" w:rsidRPr="001B5503">
        <w:t>follow a general formula</w:t>
      </w:r>
      <w:r w:rsidR="003259DC">
        <w:t xml:space="preserve"> </w:t>
      </w:r>
      <w:r w:rsidR="00F769D3" w:rsidRPr="001B5503">
        <w:t>(</w:t>
      </w:r>
      <m:oMath>
        <m:sSub>
          <m:sSubPr>
            <m:ctrlPr>
              <w:rPr>
                <w:rFonts w:ascii="Cambria Math" w:hAnsi="Cambria Math"/>
              </w:rPr>
            </m:ctrlPr>
          </m:sSubPr>
          <m:e>
            <m:r>
              <w:rPr>
                <w:rFonts w:ascii="Cambria Math" w:hAnsi="Cambria Math"/>
              </w:rPr>
              <m:t>Cs</m:t>
            </m:r>
          </m:e>
          <m:sub>
            <m:r>
              <w:rPr>
                <w:rFonts w:ascii="Cambria Math" w:hAnsi="Cambria Math"/>
              </w:rPr>
              <m:t>x</m:t>
            </m:r>
          </m:sub>
        </m:sSub>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MA</m:t>
                    </m:r>
                  </m:e>
                  <m:sub>
                    <m:r>
                      <w:rPr>
                        <w:rFonts w:ascii="Cambria Math" w:hAnsi="Cambria Math"/>
                      </w:rPr>
                      <m:t>0.17</m:t>
                    </m:r>
                  </m:sub>
                </m:sSub>
                <m:sSub>
                  <m:sSubPr>
                    <m:ctrlPr>
                      <w:rPr>
                        <w:rFonts w:ascii="Cambria Math" w:hAnsi="Cambria Math"/>
                      </w:rPr>
                    </m:ctrlPr>
                  </m:sSubPr>
                  <m:e>
                    <m:r>
                      <w:rPr>
                        <w:rFonts w:ascii="Cambria Math" w:hAnsi="Cambria Math"/>
                      </w:rPr>
                      <m:t>FA</m:t>
                    </m:r>
                  </m:e>
                  <m:sub>
                    <m:r>
                      <w:rPr>
                        <w:rFonts w:ascii="Cambria Math" w:hAnsi="Cambria Math"/>
                      </w:rPr>
                      <m:t>0.83</m:t>
                    </m:r>
                  </m:sub>
                </m:sSub>
              </m:e>
            </m:d>
          </m:e>
          <m:sub>
            <m:r>
              <w:rPr>
                <w:rFonts w:ascii="Cambria Math" w:hAnsi="Cambria Math"/>
              </w:rPr>
              <m:t>(1-x)</m:t>
            </m:r>
          </m:sub>
        </m:sSub>
        <m: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0.83</m:t>
                    </m:r>
                  </m:sub>
                </m:sSub>
                <m:sSub>
                  <m:sSubPr>
                    <m:ctrlPr>
                      <w:rPr>
                        <w:rFonts w:ascii="Cambria Math" w:hAnsi="Cambria Math"/>
                      </w:rPr>
                    </m:ctrlPr>
                  </m:sSubPr>
                  <m:e>
                    <m:r>
                      <w:rPr>
                        <w:rFonts w:ascii="Cambria Math" w:hAnsi="Cambria Math"/>
                      </w:rPr>
                      <m:t>Br</m:t>
                    </m:r>
                  </m:e>
                  <m:sub>
                    <m:r>
                      <w:rPr>
                        <w:rFonts w:ascii="Cambria Math" w:hAnsi="Cambria Math"/>
                      </w:rPr>
                      <m:t>0.17</m:t>
                    </m:r>
                  </m:sub>
                </m:sSub>
              </m:e>
            </m:d>
          </m:e>
          <m:sub>
            <m:r>
              <w:rPr>
                <w:rFonts w:ascii="Cambria Math" w:hAnsi="Cambria Math"/>
              </w:rPr>
              <m:t>3</m:t>
            </m:r>
          </m:sub>
        </m:sSub>
      </m:oMath>
      <w:r w:rsidR="00F769D3" w:rsidRPr="001B5503">
        <w:t>)</w:t>
      </w:r>
      <w:r w:rsidR="002F7DCB" w:rsidRPr="001B5503">
        <w:t xml:space="preserve">, which </w:t>
      </w:r>
      <w:r w:rsidR="0051420D" w:rsidRPr="001B5503">
        <w:t xml:space="preserve">reached efficiencies </w:t>
      </w:r>
      <w:r w:rsidR="00003912" w:rsidRPr="001B5503">
        <w:t>around</w:t>
      </w:r>
      <w:r w:rsidR="0051420D" w:rsidRPr="001B5503">
        <w:t xml:space="preserve"> 20% and a good stability during 250 h</w:t>
      </w:r>
      <w:r w:rsidR="003F1937">
        <w:t>.</w:t>
      </w:r>
      <w:r w:rsidR="0099656C" w:rsidRPr="001B5503">
        <w:fldChar w:fldCharType="begin" w:fldLock="1"/>
      </w:r>
      <w:r w:rsidR="0020768A" w:rsidRPr="001B5503">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99656C" w:rsidRPr="001B5503">
        <w:fldChar w:fldCharType="separate"/>
      </w:r>
      <w:r w:rsidR="009E3660" w:rsidRPr="001B5503">
        <w:rPr>
          <w:noProof/>
          <w:vertAlign w:val="superscript"/>
        </w:rPr>
        <w:t>15</w:t>
      </w:r>
      <w:r w:rsidR="0099656C" w:rsidRPr="001B5503">
        <w:fldChar w:fldCharType="end"/>
      </w:r>
      <w:r w:rsidR="007E107C" w:rsidRPr="001B5503">
        <w:t xml:space="preserve"> As well as in the manuscript, the four combinations used </w:t>
      </w:r>
      <w:r w:rsidR="005A3AEA" w:rsidRPr="001B5503">
        <w:t>herein were x =0</w:t>
      </w:r>
      <w:r w:rsidR="006C6408" w:rsidRPr="001B5503">
        <w:t>,</w:t>
      </w:r>
      <w:r w:rsidR="003259DC">
        <w:t xml:space="preserve"> </w:t>
      </w:r>
      <w:r w:rsidR="006C6408" w:rsidRPr="001B5503">
        <w:t>0.0</w:t>
      </w:r>
      <w:r w:rsidR="005A3AEA" w:rsidRPr="001B5503">
        <w:t xml:space="preserve">5, </w:t>
      </w:r>
      <w:r w:rsidR="006C6408" w:rsidRPr="001B5503">
        <w:t>0.</w:t>
      </w:r>
      <w:r w:rsidR="005A3AEA" w:rsidRPr="001B5503">
        <w:t xml:space="preserve">10 and </w:t>
      </w:r>
      <w:r w:rsidR="006C6408" w:rsidRPr="001B5503">
        <w:t>0.</w:t>
      </w:r>
      <w:r w:rsidR="005A3AEA" w:rsidRPr="001B5503">
        <w:t>15</w:t>
      </w:r>
      <w:r w:rsidR="00003912" w:rsidRPr="001B5503">
        <w:t>, where consequently x=0 just containing MA and FA, the combination used for the currently published PSC record</w:t>
      </w:r>
      <w:r w:rsidR="004415D2" w:rsidRPr="001B5503">
        <w:t>.</w:t>
      </w:r>
      <w:r w:rsidR="0099656C" w:rsidRPr="001B5503">
        <w:fldChar w:fldCharType="begin" w:fldLock="1"/>
      </w:r>
      <w:r w:rsidR="00230D77">
        <w:instrText>ADDIN CSL_CITATION { "citationItems" : [ { "id" : "ITEM-1", "itemData" : { "DOI" : "10.1126/science.aan2301", "ISSN" : "0036-8075",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"dropping-particle" : "", "family" : "Kim", "given" : "Young Chan", "non-dropping-particle" : "", "parse-names" : false, "suffix" : "" }, { "dropping-particle" : "", "family" : "Lee", "given" : "Dong Uk", "non-dropping-particle" : "", "parse-names" : false, "suffix" : "" }, { "dropping-particle" : "", "family" : "Shin", "given" : "Seong Sik", "non-dropping-particle" : "", "parse-names" : false, "suffix" : "" }, { "dropping-particle" : "", "family" : "Seo", "given" : "Jangwon", "non-dropping-particle" : "", "parse-names" : false, "suffix" : "" }, { "dropping-particle" : "", "family" : "Kim", "given" : "Eun Kyu", "non-dropping-particle" : "", "parse-names" : false, "suffix" : "" }, { "dropping-particle" : "", "family" : "Noh", "given" : "Jun Hong", "non-dropping-particle" : "", "parse-names" : false, "suffix" : "" }, { "dropping-particle" : "Il", "family" : "Seok", "given" : "Sang", "non-dropping-particle" : "", "parse-names" : false, "suffix" : "" } ], "container-title" : "Science", "id" : "ITEM-1", "issue" : "6345", "issued" : { "date-parts" : [ [ "2017", "6", "30" ] ] }, "page" : "1376-1379", "title" : "Iodide management in formamidinium-lead-halide\u2013based perovskite layers for efficient solar cells", "type" : "article-journal", "volume" : "356" }, "uris" : [ "http://www.mendeley.com/documents/?uuid=a021280d-c7f0-4718-9c60-ad168c9ff07a" ] } ], "mendeley" : { "formattedCitation" : "&lt;sup&gt;3&lt;/sup&gt;", "plainTextFormattedCitation" : "3", "previouslyFormattedCitation" : "&lt;sup&gt;3&lt;/sup&gt;" }, "properties" : {  }, "schema" : "https://github.com/citation-style-language/schema/raw/master/csl-citation.json" }</w:instrText>
      </w:r>
      <w:r w:rsidR="0099656C" w:rsidRPr="001B5503">
        <w:fldChar w:fldCharType="separate"/>
      </w:r>
      <w:r w:rsidR="009E3660" w:rsidRPr="001B5503">
        <w:rPr>
          <w:noProof/>
          <w:vertAlign w:val="superscript"/>
        </w:rPr>
        <w:t>3</w:t>
      </w:r>
      <w:r w:rsidR="0099656C" w:rsidRPr="001B5503">
        <w:fldChar w:fldCharType="end"/>
      </w:r>
      <w:r w:rsidR="0088252A" w:rsidRPr="001B5503">
        <w:t xml:space="preserve"> According to that, the resulting</w:t>
      </w:r>
      <w:r w:rsidR="003259DC">
        <w:t xml:space="preserve"> </w:t>
      </w:r>
      <w:r w:rsidR="00212419" w:rsidRPr="001B5503">
        <w:t>stoichiometric</w:t>
      </w:r>
      <w:r w:rsidR="003259DC">
        <w:t xml:space="preserve"> </w:t>
      </w:r>
      <w:r w:rsidR="0088252A" w:rsidRPr="001B5503">
        <w:t xml:space="preserve">coefficients of </w:t>
      </w:r>
      <w:r w:rsidR="00D35A63" w:rsidRPr="001B5503">
        <w:t>each precursor used for the synthesis</w:t>
      </w:r>
      <w:r w:rsidR="005948E5" w:rsidRPr="001B5503">
        <w:t xml:space="preserve"> are clarified in </w:t>
      </w:r>
      <w:r w:rsidR="00343A6E">
        <w:fldChar w:fldCharType="begin"/>
      </w:r>
      <w:r w:rsidR="00343A6E">
        <w:instrText xml:space="preserve"> REF _Ref471930583 \h  \* MERGEFORMAT </w:instrText>
      </w:r>
      <w:r w:rsidR="00343A6E">
        <w:fldChar w:fldCharType="separate"/>
      </w:r>
      <w:r w:rsidR="0075168A" w:rsidRPr="001B5503">
        <w:t xml:space="preserve">Table </w:t>
      </w:r>
      <w:r w:rsidR="0075168A">
        <w:t>1</w:t>
      </w:r>
      <w:r w:rsidR="00343A6E">
        <w:fldChar w:fldCharType="end"/>
      </w:r>
      <w:r w:rsidR="005948E5" w:rsidRPr="001B5503">
        <w:t>.</w:t>
      </w:r>
      <w:r w:rsidR="003259DC">
        <w:t xml:space="preserve"> </w:t>
      </w:r>
      <w:r w:rsidR="00D243E1" w:rsidRPr="001B5503">
        <w:t>As f</w:t>
      </w:r>
      <w:r w:rsidR="00591745" w:rsidRPr="001B5503">
        <w:t>or the canonical perovskite an even mixture of MAI and PbI</w:t>
      </w:r>
      <w:r w:rsidR="00591745" w:rsidRPr="001B5503">
        <w:rPr>
          <w:vertAlign w:val="subscript"/>
        </w:rPr>
        <w:t>2</w:t>
      </w:r>
      <w:r w:rsidR="00591745" w:rsidRPr="001B5503">
        <w:t xml:space="preserve"> were considered</w:t>
      </w:r>
      <w:r w:rsidR="004415D2" w:rsidRPr="001B5503">
        <w:t>,</w:t>
      </w:r>
      <w:r w:rsidR="0099656C" w:rsidRPr="001B5503">
        <w:fldChar w:fldCharType="begin" w:fldLock="1"/>
      </w:r>
      <w:r w:rsidR="00D67546">
        <w:instrText>ADDIN CSL_CITATION { "citationItems" : [ { "id" : "ITEM-1", "itemData" : { "DOI" : "10.1039/c3ta12681a", "ISSN" : "2050-7488", "abstract" : "For using 2,2\u2032,7,7\u2032-tetrakis(N,N\u2032-di-p- methoxyphenylamine)-9,9\u2032-spirobifluorene (spiro-OMeTAD) as a hole conductor in solar cells, it is necessary to improve its charge-transport properties through electrochemical doping. With the aim of fabricating efficient mesoscopic TiO2/CH3NH3PbI3 heterojunction solar cells, we used tris[2-(1H-pyrazol-1-yl)-4-tert- butylpyridine)cobalt(iii) tris(bis(trifluoromethylsulfonyl) imide)] (FK209) as a p-dopant for spiro-OMeTAD. The mixture of spiro-OMeTAD, FK209, lithium bis(trifluoromethylsulfonyl)imide (Li-TFSI), and 4-tert-butylpyridine (TBP) exhibited significantly higher performance than mixtures of pristine spiro-OMeTAD, spiro-OMeTAD, and FK209, and spiro-OMeTAD, Li-TFSI, and TBP. Such a synergistic effect between the Co-complex and Li-TFSI in conjunction with spiro-OMeTAD effectively improved the power conversion efficiency (PCE) of the fabricated solar cells. As a result, we achieved PCE of 10.4%, measured under standard solar conditions (AM 1.5G, 100 mW cm-2). \u00a9 2013 The Royal Society of Chemistry.", "author" : [ { "dropping-particle" : "", "family" : "Noh", "given" : "Jun Hong", "non-dropping-particle" : "", "parse-names" : false, "suffix" : "" }, { "dropping-particle" : "", "family" : "Jeon", "given" : "Nam Joong", "non-dropping-particle" : "", "parse-names" : false, "suffix" : "" }, { "dropping-particle" : "", "family" : "Choi", "given" : "Yong Chan", "non-dropping-particle" : "", "parse-names" : false, "suffix" : "" }, { "dropping-particle" : "", "family" : "Nazeeruddin", "given" : "Md. K.", "non-dropping-particle" : "", "parse-names" : false, "suffix" : "" }, { "dropping-particle" : "", "family" : "Gr\u00e4tzel", "given" : "Michael", "non-dropping-particle" : "", "parse-names" : false, "suffix" : "" }, { "dropping-particle" : "Il", "family" : "Seok", "given" : "Sang", "non-dropping-particle" : "", "parse-names" : false, "suffix" : "" } ], "container-title" : "Journal of Materials Chemistry A", "id" : "ITEM-1", "issue" : "38", "issued" : { "date-parts" : [ [ "2013" ] ] }, "page" : "11842", "title" : "Nanostructured TiO2/CH3NH3PbI3 heterojunction solar cells employing spiro-OMeTAD/Co-complex as hole-transporting material", "type" : "article-journal", "volume" : "1" }, "uris" : [ "http://www.mendeley.com/documents/?uuid=33519ca2-3a48-4953-b0cd-e6c55ccfeb73" ] } ], "mendeley" : { "formattedCitation" : "&lt;sup&gt;40&lt;/sup&gt;", "plainTextFormattedCitation" : "40", "previouslyFormattedCitation" : "&lt;sup&gt;40&lt;/sup&gt;" }, "properties" : {  }, "schema" : "https://github.com/citation-style-language/schema/raw/master/csl-citation.json" }</w:instrText>
      </w:r>
      <w:r w:rsidR="0099656C" w:rsidRPr="001B5503">
        <w:fldChar w:fldCharType="separate"/>
      </w:r>
      <w:r w:rsidR="00D67546" w:rsidRPr="00D67546">
        <w:rPr>
          <w:noProof/>
          <w:vertAlign w:val="superscript"/>
        </w:rPr>
        <w:t>40</w:t>
      </w:r>
      <w:r w:rsidR="0099656C" w:rsidRPr="001B5503">
        <w:fldChar w:fldCharType="end"/>
      </w:r>
      <w:r w:rsidR="00D243E1" w:rsidRPr="001B5503">
        <w:t xml:space="preserve"> known for being a general recipe from the early days of PSCs.</w:t>
      </w:r>
    </w:p>
    <w:p w14:paraId="0BC14D54" w14:textId="77777777" w:rsidR="005948E5" w:rsidRPr="001B5503" w:rsidRDefault="005948E5" w:rsidP="00363920">
      <w:pPr>
        <w:pStyle w:val="Descripcin"/>
      </w:pPr>
      <w:bookmarkStart w:id="5" w:name="_Ref471930583"/>
      <w:r w:rsidRPr="001B5503">
        <w:lastRenderedPageBreak/>
        <w:t xml:space="preserve">Table </w:t>
      </w:r>
      <w:r w:rsidR="0099656C" w:rsidRPr="001B5503">
        <w:fldChar w:fldCharType="begin"/>
      </w:r>
      <w:r w:rsidR="003336A3" w:rsidRPr="001B5503">
        <w:instrText xml:space="preserve"> SEQ Table \* ARABIC </w:instrText>
      </w:r>
      <w:r w:rsidR="0099656C" w:rsidRPr="001B5503">
        <w:fldChar w:fldCharType="separate"/>
      </w:r>
      <w:r w:rsidR="001750EF">
        <w:rPr>
          <w:noProof/>
        </w:rPr>
        <w:t>1</w:t>
      </w:r>
      <w:r w:rsidR="0099656C" w:rsidRPr="001B5503">
        <w:fldChar w:fldCharType="end"/>
      </w:r>
      <w:bookmarkEnd w:id="5"/>
      <w:r w:rsidR="00C95D2B" w:rsidRPr="001B5503">
        <w:t>.</w:t>
      </w:r>
      <w:r w:rsidR="004D1032" w:rsidRPr="001B5503">
        <w:rPr>
          <w:b w:val="0"/>
        </w:rPr>
        <w:t>Stoichiometric coefficients of the reagents used for the syntheses</w:t>
      </w:r>
      <w:r w:rsidRPr="001B5503">
        <w:rPr>
          <w:b w:val="0"/>
        </w:rPr>
        <w:t xml:space="preserve"> of the perovskites compared</w:t>
      </w:r>
      <w:r w:rsidR="00F4296A" w:rsidRPr="001B5503">
        <w:rPr>
          <w:b w:val="0"/>
        </w:rPr>
        <w:t>.</w:t>
      </w:r>
    </w:p>
    <w:tbl>
      <w:tblPr>
        <w:tblStyle w:val="Tablaconcuadrcula"/>
        <w:tblW w:w="0" w:type="auto"/>
        <w:tblLook w:val="04A0" w:firstRow="1" w:lastRow="0" w:firstColumn="1" w:lastColumn="0" w:noHBand="0" w:noVBand="1"/>
      </w:tblPr>
      <w:tblGrid>
        <w:gridCol w:w="1077"/>
        <w:gridCol w:w="680"/>
        <w:gridCol w:w="680"/>
        <w:gridCol w:w="680"/>
        <w:gridCol w:w="680"/>
        <w:gridCol w:w="680"/>
        <w:gridCol w:w="680"/>
      </w:tblGrid>
      <w:tr w:rsidR="004646B4" w:rsidRPr="001B5503" w14:paraId="2FDAC28F" w14:textId="77777777" w:rsidTr="005748AA">
        <w:trPr>
          <w:trHeight w:val="283"/>
        </w:trPr>
        <w:tc>
          <w:tcPr>
            <w:tcW w:w="1077" w:type="dxa"/>
            <w:vAlign w:val="center"/>
          </w:tcPr>
          <w:p w14:paraId="11C05726" w14:textId="77777777" w:rsidR="005A4086" w:rsidRPr="001B5503" w:rsidRDefault="000D5058" w:rsidP="007E107C">
            <w:pPr>
              <w:pStyle w:val="Taula"/>
              <w:rPr>
                <w:b/>
              </w:rPr>
            </w:pPr>
            <w:r w:rsidRPr="001B5503">
              <w:rPr>
                <w:b/>
              </w:rPr>
              <w:t>Composition</w:t>
            </w:r>
          </w:p>
        </w:tc>
        <w:tc>
          <w:tcPr>
            <w:tcW w:w="680" w:type="dxa"/>
            <w:vAlign w:val="center"/>
          </w:tcPr>
          <w:p w14:paraId="1ADC1929" w14:textId="77777777" w:rsidR="005A4086" w:rsidRPr="001B5503" w:rsidRDefault="005A4086" w:rsidP="005A3AEA">
            <w:pPr>
              <w:pStyle w:val="Taula"/>
              <w:jc w:val="center"/>
              <w:rPr>
                <w:b/>
              </w:rPr>
            </w:pPr>
            <w:r w:rsidRPr="001B5503">
              <w:rPr>
                <w:b/>
              </w:rPr>
              <w:t>CsI</w:t>
            </w:r>
          </w:p>
        </w:tc>
        <w:tc>
          <w:tcPr>
            <w:tcW w:w="680" w:type="dxa"/>
            <w:vAlign w:val="center"/>
          </w:tcPr>
          <w:p w14:paraId="08BDF0E5" w14:textId="77777777" w:rsidR="005A4086" w:rsidRPr="001B5503" w:rsidRDefault="005A4086" w:rsidP="005A3AEA">
            <w:pPr>
              <w:pStyle w:val="Taula"/>
              <w:jc w:val="center"/>
              <w:rPr>
                <w:b/>
              </w:rPr>
            </w:pPr>
            <w:r w:rsidRPr="001B5503">
              <w:rPr>
                <w:b/>
              </w:rPr>
              <w:t>FAI</w:t>
            </w:r>
          </w:p>
        </w:tc>
        <w:tc>
          <w:tcPr>
            <w:tcW w:w="680" w:type="dxa"/>
            <w:vAlign w:val="center"/>
          </w:tcPr>
          <w:p w14:paraId="79CF411A" w14:textId="77777777" w:rsidR="005A4086" w:rsidRPr="001B5503" w:rsidRDefault="005A4086" w:rsidP="005A3AEA">
            <w:pPr>
              <w:pStyle w:val="Taula"/>
              <w:jc w:val="center"/>
              <w:rPr>
                <w:b/>
              </w:rPr>
            </w:pPr>
            <w:r w:rsidRPr="001B5503">
              <w:rPr>
                <w:b/>
              </w:rPr>
              <w:t>MABr</w:t>
            </w:r>
          </w:p>
        </w:tc>
        <w:tc>
          <w:tcPr>
            <w:tcW w:w="680" w:type="dxa"/>
            <w:vAlign w:val="center"/>
          </w:tcPr>
          <w:p w14:paraId="1F018054" w14:textId="77777777" w:rsidR="005A4086" w:rsidRPr="001B5503" w:rsidRDefault="005A4086" w:rsidP="005A3AEA">
            <w:pPr>
              <w:pStyle w:val="Taula"/>
              <w:jc w:val="center"/>
              <w:rPr>
                <w:b/>
              </w:rPr>
            </w:pPr>
            <w:r w:rsidRPr="001B5503">
              <w:rPr>
                <w:b/>
              </w:rPr>
              <w:t>MAI</w:t>
            </w:r>
          </w:p>
        </w:tc>
        <w:tc>
          <w:tcPr>
            <w:tcW w:w="680" w:type="dxa"/>
            <w:vAlign w:val="center"/>
          </w:tcPr>
          <w:p w14:paraId="17A4CFFD" w14:textId="77777777" w:rsidR="005A4086" w:rsidRPr="001B5503" w:rsidRDefault="005A4086" w:rsidP="005A3AEA">
            <w:pPr>
              <w:pStyle w:val="Taula"/>
              <w:jc w:val="center"/>
              <w:rPr>
                <w:b/>
              </w:rPr>
            </w:pPr>
            <w:r w:rsidRPr="001B5503">
              <w:rPr>
                <w:b/>
              </w:rPr>
              <w:t>PbI</w:t>
            </w:r>
            <w:r w:rsidRPr="001B5503">
              <w:rPr>
                <w:b/>
                <w:vertAlign w:val="subscript"/>
              </w:rPr>
              <w:t>2</w:t>
            </w:r>
          </w:p>
        </w:tc>
        <w:tc>
          <w:tcPr>
            <w:tcW w:w="680" w:type="dxa"/>
            <w:vAlign w:val="center"/>
          </w:tcPr>
          <w:p w14:paraId="28CBDC9A" w14:textId="77777777" w:rsidR="005A4086" w:rsidRPr="001B5503" w:rsidRDefault="005A4086" w:rsidP="005A3AEA">
            <w:pPr>
              <w:pStyle w:val="Taula"/>
              <w:jc w:val="center"/>
              <w:rPr>
                <w:b/>
              </w:rPr>
            </w:pPr>
            <w:r w:rsidRPr="001B5503">
              <w:rPr>
                <w:b/>
              </w:rPr>
              <w:t>PbBr</w:t>
            </w:r>
            <w:r w:rsidRPr="001B5503">
              <w:rPr>
                <w:b/>
                <w:vertAlign w:val="subscript"/>
              </w:rPr>
              <w:t>2</w:t>
            </w:r>
          </w:p>
        </w:tc>
      </w:tr>
      <w:tr w:rsidR="001F67C3" w:rsidRPr="001B5503" w14:paraId="0438517E" w14:textId="77777777" w:rsidTr="005748AA">
        <w:trPr>
          <w:trHeight w:val="283"/>
        </w:trPr>
        <w:tc>
          <w:tcPr>
            <w:tcW w:w="1077" w:type="dxa"/>
            <w:vAlign w:val="center"/>
          </w:tcPr>
          <w:p w14:paraId="7666ADC8" w14:textId="77777777" w:rsidR="001F67C3" w:rsidRPr="001B5503" w:rsidRDefault="001F67C3" w:rsidP="007E107C">
            <w:pPr>
              <w:pStyle w:val="Taula"/>
            </w:pPr>
            <w:r w:rsidRPr="001B5503">
              <w:t>0</w:t>
            </w:r>
            <w:r w:rsidR="006C6408" w:rsidRPr="001B5503">
              <w:t>.00</w:t>
            </w:r>
          </w:p>
        </w:tc>
        <w:tc>
          <w:tcPr>
            <w:tcW w:w="680" w:type="dxa"/>
            <w:vAlign w:val="center"/>
          </w:tcPr>
          <w:p w14:paraId="5C25B695" w14:textId="77777777" w:rsidR="001F67C3" w:rsidRPr="001B5503" w:rsidRDefault="001F67C3" w:rsidP="005A3AEA">
            <w:pPr>
              <w:pStyle w:val="Taula"/>
              <w:jc w:val="center"/>
            </w:pPr>
            <w:r w:rsidRPr="001B5503">
              <w:t>0.0000</w:t>
            </w:r>
          </w:p>
        </w:tc>
        <w:tc>
          <w:tcPr>
            <w:tcW w:w="680" w:type="dxa"/>
          </w:tcPr>
          <w:p w14:paraId="2DDA65BF" w14:textId="77777777" w:rsidR="001F67C3" w:rsidRPr="001B5503" w:rsidRDefault="001F67C3" w:rsidP="005A3AEA">
            <w:pPr>
              <w:pStyle w:val="Taula"/>
              <w:jc w:val="center"/>
            </w:pPr>
            <w:r w:rsidRPr="001B5503">
              <w:t>0.8300</w:t>
            </w:r>
          </w:p>
        </w:tc>
        <w:tc>
          <w:tcPr>
            <w:tcW w:w="680" w:type="dxa"/>
          </w:tcPr>
          <w:p w14:paraId="2E7E0E47" w14:textId="77777777" w:rsidR="001F67C3" w:rsidRPr="001B5503" w:rsidRDefault="001F67C3" w:rsidP="004646B4">
            <w:pPr>
              <w:pStyle w:val="Taula"/>
              <w:jc w:val="center"/>
            </w:pPr>
            <w:r w:rsidRPr="001B5503">
              <w:t>0.1700</w:t>
            </w:r>
          </w:p>
        </w:tc>
        <w:tc>
          <w:tcPr>
            <w:tcW w:w="680" w:type="dxa"/>
            <w:vAlign w:val="center"/>
          </w:tcPr>
          <w:p w14:paraId="34F694FB" w14:textId="77777777" w:rsidR="001F67C3" w:rsidRPr="001B5503" w:rsidRDefault="001F67C3" w:rsidP="005A3AEA">
            <w:pPr>
              <w:pStyle w:val="Taula"/>
              <w:jc w:val="center"/>
            </w:pPr>
            <w:r w:rsidRPr="001B5503">
              <w:t>-</w:t>
            </w:r>
          </w:p>
        </w:tc>
        <w:tc>
          <w:tcPr>
            <w:tcW w:w="680" w:type="dxa"/>
          </w:tcPr>
          <w:p w14:paraId="72BE3D31" w14:textId="77777777" w:rsidR="001F67C3" w:rsidRPr="001B5503" w:rsidRDefault="001F67C3" w:rsidP="005A3AEA">
            <w:pPr>
              <w:pStyle w:val="Taula"/>
              <w:jc w:val="center"/>
            </w:pPr>
            <w:r w:rsidRPr="001B5503">
              <w:t>0.8300</w:t>
            </w:r>
          </w:p>
        </w:tc>
        <w:tc>
          <w:tcPr>
            <w:tcW w:w="680" w:type="dxa"/>
          </w:tcPr>
          <w:p w14:paraId="073E831B" w14:textId="77777777" w:rsidR="001F67C3" w:rsidRPr="001B5503" w:rsidRDefault="001F67C3" w:rsidP="005A3AEA">
            <w:pPr>
              <w:pStyle w:val="Taula"/>
              <w:jc w:val="center"/>
            </w:pPr>
            <w:r w:rsidRPr="001B5503">
              <w:t>0.1700</w:t>
            </w:r>
          </w:p>
        </w:tc>
      </w:tr>
      <w:tr w:rsidR="001F67C3" w:rsidRPr="001B5503" w14:paraId="2C75478D" w14:textId="77777777" w:rsidTr="005748AA">
        <w:trPr>
          <w:trHeight w:val="283"/>
        </w:trPr>
        <w:tc>
          <w:tcPr>
            <w:tcW w:w="1077" w:type="dxa"/>
            <w:vAlign w:val="center"/>
          </w:tcPr>
          <w:p w14:paraId="7F9B0877" w14:textId="77777777" w:rsidR="001F67C3" w:rsidRPr="001B5503" w:rsidRDefault="006C6408" w:rsidP="007E107C">
            <w:pPr>
              <w:pStyle w:val="Taula"/>
            </w:pPr>
            <w:r w:rsidRPr="001B5503">
              <w:t>0.0</w:t>
            </w:r>
            <w:r w:rsidR="001F67C3" w:rsidRPr="001B5503">
              <w:t>5</w:t>
            </w:r>
          </w:p>
        </w:tc>
        <w:tc>
          <w:tcPr>
            <w:tcW w:w="680" w:type="dxa"/>
            <w:vAlign w:val="center"/>
          </w:tcPr>
          <w:p w14:paraId="79A0B82F" w14:textId="77777777" w:rsidR="001F67C3" w:rsidRPr="001B5503" w:rsidRDefault="001F67C3" w:rsidP="005A3AEA">
            <w:pPr>
              <w:pStyle w:val="Taula"/>
              <w:jc w:val="center"/>
            </w:pPr>
            <w:r w:rsidRPr="001B5503">
              <w:t>0.0500</w:t>
            </w:r>
          </w:p>
        </w:tc>
        <w:tc>
          <w:tcPr>
            <w:tcW w:w="680" w:type="dxa"/>
          </w:tcPr>
          <w:p w14:paraId="25C6E620" w14:textId="77777777" w:rsidR="001F67C3" w:rsidRPr="001B5503" w:rsidRDefault="001F67C3" w:rsidP="005A3AEA">
            <w:pPr>
              <w:pStyle w:val="Taula"/>
              <w:jc w:val="center"/>
            </w:pPr>
            <w:r w:rsidRPr="001B5503">
              <w:t>0.7885</w:t>
            </w:r>
          </w:p>
        </w:tc>
        <w:tc>
          <w:tcPr>
            <w:tcW w:w="680" w:type="dxa"/>
          </w:tcPr>
          <w:p w14:paraId="5A7727A0" w14:textId="77777777" w:rsidR="001F67C3" w:rsidRPr="001B5503" w:rsidRDefault="001F67C3" w:rsidP="005A3AEA">
            <w:pPr>
              <w:pStyle w:val="Taula"/>
              <w:jc w:val="center"/>
            </w:pPr>
            <w:r w:rsidRPr="001B5503">
              <w:t>0.1615</w:t>
            </w:r>
          </w:p>
        </w:tc>
        <w:tc>
          <w:tcPr>
            <w:tcW w:w="680" w:type="dxa"/>
            <w:vAlign w:val="center"/>
          </w:tcPr>
          <w:p w14:paraId="28380256" w14:textId="77777777" w:rsidR="001F67C3" w:rsidRPr="001B5503" w:rsidRDefault="001F67C3" w:rsidP="005A3AEA">
            <w:pPr>
              <w:pStyle w:val="Taula"/>
              <w:jc w:val="center"/>
            </w:pPr>
            <w:r w:rsidRPr="001B5503">
              <w:t>-</w:t>
            </w:r>
          </w:p>
        </w:tc>
        <w:tc>
          <w:tcPr>
            <w:tcW w:w="680" w:type="dxa"/>
          </w:tcPr>
          <w:p w14:paraId="07BE7596" w14:textId="77777777" w:rsidR="001F67C3" w:rsidRPr="001B5503" w:rsidRDefault="001F67C3" w:rsidP="005A3AEA">
            <w:pPr>
              <w:pStyle w:val="Taula"/>
              <w:jc w:val="center"/>
            </w:pPr>
            <w:r w:rsidRPr="001B5503">
              <w:t>0.8258</w:t>
            </w:r>
          </w:p>
        </w:tc>
        <w:tc>
          <w:tcPr>
            <w:tcW w:w="680" w:type="dxa"/>
          </w:tcPr>
          <w:p w14:paraId="30B1B4E3" w14:textId="77777777" w:rsidR="001F67C3" w:rsidRPr="001B5503" w:rsidRDefault="001F67C3" w:rsidP="005A3AEA">
            <w:pPr>
              <w:pStyle w:val="Taula"/>
              <w:jc w:val="center"/>
            </w:pPr>
            <w:r w:rsidRPr="001B5503">
              <w:t>0.1743</w:t>
            </w:r>
          </w:p>
        </w:tc>
      </w:tr>
      <w:tr w:rsidR="001F67C3" w:rsidRPr="001B5503" w14:paraId="0981CC12" w14:textId="77777777" w:rsidTr="005748AA">
        <w:trPr>
          <w:trHeight w:val="283"/>
        </w:trPr>
        <w:tc>
          <w:tcPr>
            <w:tcW w:w="1077" w:type="dxa"/>
            <w:vAlign w:val="center"/>
          </w:tcPr>
          <w:p w14:paraId="2A46B2F5" w14:textId="77777777" w:rsidR="001F67C3" w:rsidRPr="001B5503" w:rsidRDefault="006C6408" w:rsidP="007E107C">
            <w:pPr>
              <w:pStyle w:val="Taula"/>
            </w:pPr>
            <w:r w:rsidRPr="001B5503">
              <w:t>0.</w:t>
            </w:r>
            <w:r w:rsidR="001F67C3" w:rsidRPr="001B5503">
              <w:t>10</w:t>
            </w:r>
          </w:p>
        </w:tc>
        <w:tc>
          <w:tcPr>
            <w:tcW w:w="680" w:type="dxa"/>
            <w:vAlign w:val="center"/>
          </w:tcPr>
          <w:p w14:paraId="754C2676" w14:textId="77777777" w:rsidR="001F67C3" w:rsidRPr="001B5503" w:rsidRDefault="001F67C3" w:rsidP="005A3AEA">
            <w:pPr>
              <w:pStyle w:val="Taula"/>
              <w:jc w:val="center"/>
            </w:pPr>
            <w:r w:rsidRPr="001B5503">
              <w:t>0.1000</w:t>
            </w:r>
          </w:p>
        </w:tc>
        <w:tc>
          <w:tcPr>
            <w:tcW w:w="680" w:type="dxa"/>
          </w:tcPr>
          <w:p w14:paraId="056C6552" w14:textId="77777777" w:rsidR="001F67C3" w:rsidRPr="001B5503" w:rsidRDefault="001F67C3" w:rsidP="005A3AEA">
            <w:pPr>
              <w:pStyle w:val="Taula"/>
              <w:jc w:val="center"/>
            </w:pPr>
            <w:r w:rsidRPr="001B5503">
              <w:t>0.7470</w:t>
            </w:r>
          </w:p>
        </w:tc>
        <w:tc>
          <w:tcPr>
            <w:tcW w:w="680" w:type="dxa"/>
          </w:tcPr>
          <w:p w14:paraId="2A77B65C" w14:textId="77777777" w:rsidR="001F67C3" w:rsidRPr="001B5503" w:rsidRDefault="001F67C3" w:rsidP="005A3AEA">
            <w:pPr>
              <w:pStyle w:val="Taula"/>
              <w:jc w:val="center"/>
            </w:pPr>
            <w:r w:rsidRPr="001B5503">
              <w:t>0.1530</w:t>
            </w:r>
          </w:p>
        </w:tc>
        <w:tc>
          <w:tcPr>
            <w:tcW w:w="680" w:type="dxa"/>
            <w:vAlign w:val="center"/>
          </w:tcPr>
          <w:p w14:paraId="4D9BAA68" w14:textId="77777777" w:rsidR="001F67C3" w:rsidRPr="001B5503" w:rsidRDefault="001F67C3" w:rsidP="005A3AEA">
            <w:pPr>
              <w:pStyle w:val="Taula"/>
              <w:jc w:val="center"/>
            </w:pPr>
            <w:r w:rsidRPr="001B5503">
              <w:t>-</w:t>
            </w:r>
          </w:p>
        </w:tc>
        <w:tc>
          <w:tcPr>
            <w:tcW w:w="680" w:type="dxa"/>
          </w:tcPr>
          <w:p w14:paraId="67E54074" w14:textId="77777777" w:rsidR="001F67C3" w:rsidRPr="001B5503" w:rsidRDefault="001F67C3" w:rsidP="005A3AEA">
            <w:pPr>
              <w:pStyle w:val="Taula"/>
              <w:jc w:val="center"/>
            </w:pPr>
            <w:r w:rsidRPr="001B5503">
              <w:t>0.8215</w:t>
            </w:r>
          </w:p>
        </w:tc>
        <w:tc>
          <w:tcPr>
            <w:tcW w:w="680" w:type="dxa"/>
          </w:tcPr>
          <w:p w14:paraId="60E698D3" w14:textId="77777777" w:rsidR="001F67C3" w:rsidRPr="001B5503" w:rsidRDefault="001F67C3" w:rsidP="005A3AEA">
            <w:pPr>
              <w:pStyle w:val="Taula"/>
              <w:jc w:val="center"/>
            </w:pPr>
            <w:r w:rsidRPr="001B5503">
              <w:t>0.1785</w:t>
            </w:r>
          </w:p>
        </w:tc>
      </w:tr>
      <w:tr w:rsidR="001F67C3" w:rsidRPr="001B5503" w14:paraId="7C2F7936" w14:textId="77777777" w:rsidTr="005748AA">
        <w:trPr>
          <w:trHeight w:val="283"/>
        </w:trPr>
        <w:tc>
          <w:tcPr>
            <w:tcW w:w="1077" w:type="dxa"/>
            <w:vAlign w:val="center"/>
          </w:tcPr>
          <w:p w14:paraId="537E73DA" w14:textId="77777777" w:rsidR="001F67C3" w:rsidRPr="001B5503" w:rsidRDefault="006C6408" w:rsidP="007E107C">
            <w:pPr>
              <w:pStyle w:val="Taula"/>
            </w:pPr>
            <w:r w:rsidRPr="001B5503">
              <w:t>0.</w:t>
            </w:r>
            <w:r w:rsidR="001F67C3" w:rsidRPr="001B5503">
              <w:t>15</w:t>
            </w:r>
          </w:p>
        </w:tc>
        <w:tc>
          <w:tcPr>
            <w:tcW w:w="680" w:type="dxa"/>
            <w:vAlign w:val="center"/>
          </w:tcPr>
          <w:p w14:paraId="352F5D92" w14:textId="77777777" w:rsidR="001F67C3" w:rsidRPr="001B5503" w:rsidRDefault="001F67C3" w:rsidP="005A3AEA">
            <w:pPr>
              <w:pStyle w:val="Taula"/>
              <w:jc w:val="center"/>
            </w:pPr>
            <w:r w:rsidRPr="001B5503">
              <w:t>0.1500</w:t>
            </w:r>
          </w:p>
        </w:tc>
        <w:tc>
          <w:tcPr>
            <w:tcW w:w="680" w:type="dxa"/>
          </w:tcPr>
          <w:p w14:paraId="752568AD" w14:textId="77777777" w:rsidR="001F67C3" w:rsidRPr="001B5503" w:rsidRDefault="001F67C3" w:rsidP="005A3AEA">
            <w:pPr>
              <w:pStyle w:val="Taula"/>
              <w:jc w:val="center"/>
            </w:pPr>
            <w:r w:rsidRPr="001B5503">
              <w:t>0.7055</w:t>
            </w:r>
          </w:p>
        </w:tc>
        <w:tc>
          <w:tcPr>
            <w:tcW w:w="680" w:type="dxa"/>
          </w:tcPr>
          <w:p w14:paraId="372DAF5B" w14:textId="77777777" w:rsidR="001F67C3" w:rsidRPr="001B5503" w:rsidRDefault="001F67C3" w:rsidP="005A3AEA">
            <w:pPr>
              <w:pStyle w:val="Taula"/>
              <w:jc w:val="center"/>
            </w:pPr>
            <w:r w:rsidRPr="001B5503">
              <w:t>0.1445</w:t>
            </w:r>
          </w:p>
        </w:tc>
        <w:tc>
          <w:tcPr>
            <w:tcW w:w="680" w:type="dxa"/>
            <w:vAlign w:val="center"/>
          </w:tcPr>
          <w:p w14:paraId="6EAD0F4C" w14:textId="77777777" w:rsidR="001F67C3" w:rsidRPr="001B5503" w:rsidRDefault="001F67C3" w:rsidP="005A3AEA">
            <w:pPr>
              <w:pStyle w:val="Taula"/>
              <w:jc w:val="center"/>
            </w:pPr>
            <w:r w:rsidRPr="001B5503">
              <w:t>-</w:t>
            </w:r>
          </w:p>
        </w:tc>
        <w:tc>
          <w:tcPr>
            <w:tcW w:w="680" w:type="dxa"/>
          </w:tcPr>
          <w:p w14:paraId="0030BD44" w14:textId="77777777" w:rsidR="001F67C3" w:rsidRPr="001B5503" w:rsidRDefault="001F67C3" w:rsidP="005A3AEA">
            <w:pPr>
              <w:pStyle w:val="Taula"/>
              <w:jc w:val="center"/>
            </w:pPr>
            <w:r w:rsidRPr="001B5503">
              <w:t>0.8173</w:t>
            </w:r>
          </w:p>
        </w:tc>
        <w:tc>
          <w:tcPr>
            <w:tcW w:w="680" w:type="dxa"/>
          </w:tcPr>
          <w:p w14:paraId="68D9877B" w14:textId="77777777" w:rsidR="001F67C3" w:rsidRPr="001B5503" w:rsidRDefault="001F67C3" w:rsidP="005A3AEA">
            <w:pPr>
              <w:pStyle w:val="Taula"/>
              <w:jc w:val="center"/>
            </w:pPr>
            <w:r w:rsidRPr="001B5503">
              <w:t>0.1828</w:t>
            </w:r>
          </w:p>
        </w:tc>
      </w:tr>
      <w:tr w:rsidR="004646B4" w:rsidRPr="001B5503" w14:paraId="5F3B5165" w14:textId="77777777" w:rsidTr="005748AA">
        <w:trPr>
          <w:trHeight w:val="283"/>
        </w:trPr>
        <w:tc>
          <w:tcPr>
            <w:tcW w:w="1077" w:type="dxa"/>
            <w:vAlign w:val="center"/>
          </w:tcPr>
          <w:p w14:paraId="4449FAB0" w14:textId="77777777" w:rsidR="005A4086" w:rsidRPr="001B5503" w:rsidRDefault="005F1A3C" w:rsidP="007E107C">
            <w:pPr>
              <w:pStyle w:val="Taula"/>
            </w:pPr>
            <w:r w:rsidRPr="001B5503">
              <w:t>Canonical</w:t>
            </w:r>
          </w:p>
        </w:tc>
        <w:tc>
          <w:tcPr>
            <w:tcW w:w="680" w:type="dxa"/>
            <w:vAlign w:val="center"/>
          </w:tcPr>
          <w:p w14:paraId="65230555" w14:textId="77777777" w:rsidR="005A4086" w:rsidRPr="001B5503" w:rsidRDefault="005A4086" w:rsidP="005A3AEA">
            <w:pPr>
              <w:pStyle w:val="Taula"/>
              <w:jc w:val="center"/>
            </w:pPr>
            <w:r w:rsidRPr="001B5503">
              <w:t>-</w:t>
            </w:r>
          </w:p>
        </w:tc>
        <w:tc>
          <w:tcPr>
            <w:tcW w:w="680" w:type="dxa"/>
            <w:vAlign w:val="center"/>
          </w:tcPr>
          <w:p w14:paraId="0B906E17" w14:textId="77777777" w:rsidR="005A4086" w:rsidRPr="001B5503" w:rsidRDefault="005A4086" w:rsidP="005A3AEA">
            <w:pPr>
              <w:pStyle w:val="Taula"/>
              <w:jc w:val="center"/>
            </w:pPr>
            <w:r w:rsidRPr="001B5503">
              <w:t>-</w:t>
            </w:r>
          </w:p>
        </w:tc>
        <w:tc>
          <w:tcPr>
            <w:tcW w:w="680" w:type="dxa"/>
            <w:vAlign w:val="center"/>
          </w:tcPr>
          <w:p w14:paraId="3EDC2486" w14:textId="77777777" w:rsidR="005A4086" w:rsidRPr="001B5503" w:rsidRDefault="005A4086" w:rsidP="005A3AEA">
            <w:pPr>
              <w:pStyle w:val="Taula"/>
              <w:jc w:val="center"/>
            </w:pPr>
            <w:r w:rsidRPr="001B5503">
              <w:t>-</w:t>
            </w:r>
          </w:p>
        </w:tc>
        <w:tc>
          <w:tcPr>
            <w:tcW w:w="680" w:type="dxa"/>
            <w:vAlign w:val="center"/>
          </w:tcPr>
          <w:p w14:paraId="1E71FD0D" w14:textId="77777777" w:rsidR="005A4086" w:rsidRPr="001B5503" w:rsidRDefault="005A4086" w:rsidP="005A3AEA">
            <w:pPr>
              <w:pStyle w:val="Taula"/>
              <w:jc w:val="center"/>
            </w:pPr>
            <w:r w:rsidRPr="001B5503">
              <w:t>1</w:t>
            </w:r>
            <w:r w:rsidR="004646B4" w:rsidRPr="001B5503">
              <w:t>.000</w:t>
            </w:r>
            <w:r w:rsidR="001F67C3" w:rsidRPr="001B5503">
              <w:t>0</w:t>
            </w:r>
          </w:p>
        </w:tc>
        <w:tc>
          <w:tcPr>
            <w:tcW w:w="680" w:type="dxa"/>
            <w:vAlign w:val="center"/>
          </w:tcPr>
          <w:p w14:paraId="1605A36F" w14:textId="77777777" w:rsidR="005A4086" w:rsidRPr="001B5503" w:rsidRDefault="005A4086" w:rsidP="005A3AEA">
            <w:pPr>
              <w:pStyle w:val="Taula"/>
              <w:jc w:val="center"/>
            </w:pPr>
            <w:r w:rsidRPr="001B5503">
              <w:t>1</w:t>
            </w:r>
            <w:r w:rsidR="004646B4" w:rsidRPr="001B5503">
              <w:t>.000</w:t>
            </w:r>
            <w:r w:rsidR="001F67C3" w:rsidRPr="001B5503">
              <w:t>0</w:t>
            </w:r>
          </w:p>
        </w:tc>
        <w:tc>
          <w:tcPr>
            <w:tcW w:w="680" w:type="dxa"/>
            <w:vAlign w:val="center"/>
          </w:tcPr>
          <w:p w14:paraId="715B8647" w14:textId="77777777" w:rsidR="005A4086" w:rsidRPr="001B5503" w:rsidRDefault="005A4086" w:rsidP="005A3AEA">
            <w:pPr>
              <w:pStyle w:val="Taula"/>
              <w:jc w:val="center"/>
            </w:pPr>
            <w:r w:rsidRPr="001B5503">
              <w:t>-</w:t>
            </w:r>
          </w:p>
        </w:tc>
      </w:tr>
    </w:tbl>
    <w:p w14:paraId="01AE766C" w14:textId="77777777" w:rsidR="004D1032" w:rsidRPr="001B5503" w:rsidRDefault="004D1032" w:rsidP="004D1032">
      <w:pPr>
        <w:pStyle w:val="Taula"/>
      </w:pPr>
    </w:p>
    <w:p w14:paraId="1D01C1D6" w14:textId="77777777" w:rsidR="00740520" w:rsidRPr="001B5503" w:rsidRDefault="00C472A3" w:rsidP="007E440A">
      <w:r w:rsidRPr="001B5503">
        <w:t xml:space="preserve">Most </w:t>
      </w:r>
      <w:r w:rsidR="001237FD" w:rsidRPr="001B5503">
        <w:t xml:space="preserve">of </w:t>
      </w:r>
      <w:r w:rsidR="002E0CCA" w:rsidRPr="001B5503">
        <w:t xml:space="preserve">the </w:t>
      </w:r>
      <w:r w:rsidR="001237FD" w:rsidRPr="001B5503">
        <w:t>input</w:t>
      </w:r>
      <w:r w:rsidRPr="001B5503">
        <w:t>s</w:t>
      </w:r>
      <w:r w:rsidR="001237FD" w:rsidRPr="001B5503">
        <w:t xml:space="preserve"> were calculated from datasets in Ecoinvent</w:t>
      </w:r>
      <w:r w:rsidR="004415D2" w:rsidRPr="001B5503">
        <w:t>,</w:t>
      </w:r>
      <w:r w:rsidR="0099656C" w:rsidRPr="001B5503">
        <w:fldChar w:fldCharType="begin" w:fldLock="1"/>
      </w:r>
      <w:r w:rsidR="00D67546">
        <w:instrText>ADDIN CSL_CITATION { "citationItems" : [ { "id" : "ITEM-1", "itemData" : { "DOI" : "10.1065/lca2004.10.181.1", "ISBN" : "0948-3349", "ISSN" : "09483349", "PMID" : "10743", "abstract" : "This paper provides an overview on the content of the ecoinvent database and of selected metholodogical issues applied on the life cycle inventories implemented in the ecoinvent database. In the year 2000, several Swiss Federal Offices and research institutes of the ETH domain agreed on a joint effort to harmonise and update life cycle inventory (LCI) data for its use in life cycle assessment (LCA). With the ecoinvent database and its actual data v1.1 a consistent set of more than 2'700 product and service LCIs covering the energy, transport, building materials, chemicals, pulp and paper, waste management and agricultural sectors is now available. Datasets are valid for European and Swiss conditions but partly also for other regions in the world (e.g., gas and oil extraction, metals mining). Nearly all process datasets are transparently documented on the level of unit process inputs and outputs. Methodological approaches have been applied consistently throughout the entire database content and thus guarantee for a coherent set of LCI data. This is particularly true for market and trade modelling, and for the treatment of multioutput and of recycling processes. Most multi-output processes are implemented as such, i.e., in their unallocated form with several co-product outputs and related allocation factors. With the help of these allocation factors, unit process raw data are derived and additionally stored in the ecoinvent database. This approach guarantees that 100 % of all inputs to and outputs from the multi-output process are allocated to the co-products. Transparency in reporting on a unit process level helps to adjust allocation factors applied on a multi-output process to one\u00e2\u20ac\u2122s own needs. With limited own efforts one can even change the allocation approach from allocation to system expansion, in case this is considered more appropriate. Although measures have been taken to minimise errors in the database, they cannot be excluded. A pro-active information policy on data errors is followed. It helps the users to judge whether they may still work with the present version of ecoinvent data or they better correct selected errors that might otherwise influence the outcome of their current LCA case studies. The existence of the ecoinvent database proves that it is possible and feasible to build up a large interlinked system of LCI unit processes. The project work proved to be demanding in terms of co-ordination efforts and consent identification. One m\u2026", "author" : [ { "dropping-particle" : "", "family" : "Frischknecht", "given" : "Rolf", "non-dropping-particle" : "", "parse-names" : false, "suffix" : "" }, { "dropping-particle" : "", "family" : "Jungbluth", "given" : "Niels", "non-dropping-particle" : "", "parse-names" : false, "suffix" : "" }, { "dropping-particle" : "", "family" : "Althaus", "given" : "Hans J\u00f6rg", "non-dropping-particle" : "", "parse-names" : false, "suffix" : "" }, { "dropping-particle" : "", "family" : "Doka", "given" : "Gabor", "non-dropping-particle" : "", "parse-names" : false, "suffix" : "" }, { "dropping-particle" : "", "family" : "Dones", "given" : "Roberto", "non-dropping-particle" : "", "parse-names" : false, "suffix" : "" }, { "dropping-particle" : "", "family" : "Heck", "given" : "Thomas", "non-dropping-particle" : "", "parse-names" : false, "suffix" : "" }, { "dropping-particle" : "", "family" : "Hellweg", "given" : "Stefanie", "non-dropping-particle" : "", "parse-names" : false, "suffix" : "" }, { "dropping-particle" : "", "family" : "Hischier", "given" : "Roland", "non-dropping-particle" : "", "parse-names" : false, "suffix" : "" }, { "dropping-particle" : "", "family" : "Nemecek", "given" : "Thomas", "non-dropping-particle" : "", "parse-names" : false, "suffix" : "" }, { "dropping-particle" : "", "family" : "Rebitzer", "given" : "Gerald", "non-dropping-particle" : "", "parse-names" : false, "suffix" : "" }, { "dropping-particle" : "", "family" : "Spielmann", "given" : "Michael", "non-dropping-particle" : "", "parse-names" : false, "suffix" : "" } ], "container-title" : "International Journal of Life Cycle Assessment", "id" : "ITEM-1", "issue" : "1", "issued" : { "date-parts" : [ [ "2005" ] ] }, "language" : "English", "page" : "3-9", "publisher" : "Ecomed", "title" : "The ecoinvent database: Overview and methodological framework", "type" : "article", "volume" : "10" }, "uris" : [ "http://www.mendeley.com/documents/?uuid=9262dc24-4c51-4a19-b7af-bf785ce31c5f" ] } ], "mendeley" : { "formattedCitation" : "&lt;sup&gt;44&lt;/sup&gt;", "plainTextFormattedCitation" : "44", "previouslyFormattedCitation" : "&lt;sup&gt;44&lt;/sup&gt;" }, "properties" : {  }, "schema" : "https://github.com/citation-style-language/schema/raw/master/csl-citation.json" }</w:instrText>
      </w:r>
      <w:r w:rsidR="0099656C" w:rsidRPr="001B5503">
        <w:fldChar w:fldCharType="separate"/>
      </w:r>
      <w:r w:rsidR="00D67546" w:rsidRPr="00D67546">
        <w:rPr>
          <w:noProof/>
          <w:vertAlign w:val="superscript"/>
        </w:rPr>
        <w:t>44</w:t>
      </w:r>
      <w:r w:rsidR="0099656C" w:rsidRPr="001B5503">
        <w:fldChar w:fldCharType="end"/>
      </w:r>
      <w:r w:rsidR="00263885" w:rsidRPr="001B5503">
        <w:t xml:space="preserve"> namely electricity, transport, solvents </w:t>
      </w:r>
      <w:r w:rsidR="003D7156" w:rsidRPr="001B5503">
        <w:t>and most of the</w:t>
      </w:r>
      <w:r w:rsidR="00263885" w:rsidRPr="001B5503">
        <w:t xml:space="preserve"> reagents</w:t>
      </w:r>
      <w:r w:rsidR="001237FD" w:rsidRPr="001B5503">
        <w:t>.</w:t>
      </w:r>
      <w:r w:rsidR="00263885" w:rsidRPr="001B5503">
        <w:t xml:space="preserve"> However, </w:t>
      </w:r>
      <w:r w:rsidR="003259DC">
        <w:t>FAI</w:t>
      </w:r>
      <w:r w:rsidR="00263885" w:rsidRPr="001B5503">
        <w:t xml:space="preserve"> and </w:t>
      </w:r>
      <w:r w:rsidR="003259DC">
        <w:t>CsI</w:t>
      </w:r>
      <w:r w:rsidR="00263885" w:rsidRPr="001B5503">
        <w:t xml:space="preserve"> production processes </w:t>
      </w:r>
      <w:r w:rsidR="00E219C8" w:rsidRPr="001B5503">
        <w:t>could not be found in databases, it was therefore</w:t>
      </w:r>
      <w:r w:rsidR="00263885" w:rsidRPr="001B5503">
        <w:t xml:space="preserve"> modelled from information in literature</w:t>
      </w:r>
      <w:r w:rsidR="00740520" w:rsidRPr="001B5503">
        <w:t>.</w:t>
      </w:r>
      <w:r w:rsidR="000A332D" w:rsidRPr="001B5503">
        <w:t xml:space="preserve"> In particular, the synthesis of </w:t>
      </w:r>
      <w:r w:rsidR="003259DC">
        <w:t>FAI</w:t>
      </w:r>
      <w:r w:rsidR="000A332D" w:rsidRPr="001B5503">
        <w:t xml:space="preserve"> was modelled from several reactions with hydrogen cyanide, hydroxylamine, acetic acid and hydroiodic acid</w:t>
      </w:r>
      <w:r w:rsidR="003B3E45" w:rsidRPr="001B5503">
        <w:t xml:space="preserve"> as reagents</w:t>
      </w:r>
      <w:r w:rsidR="00EE2B2E" w:rsidRPr="001B5503">
        <w:t>.</w:t>
      </w:r>
      <w:r w:rsidR="0099656C" w:rsidRPr="001B5503">
        <w:fldChar w:fldCharType="begin" w:fldLock="1"/>
      </w:r>
      <w:r w:rsidR="00D67546">
        <w:instrText>ADDIN CSL_CITATION { "citationItems" : [ { "id" : "ITEM-1", "itemData" : { "DOI" : "10.1002/hlca.19620450202", "ISSN" : "0018019X", "abstract" : "The acylation of formamidoxime CH(:NOH)NH2 has been carried out. Compounds of structure CH(:NOCOR)NH2 have been prepared (in which R \uf8fe CH3, C6H5, p\u2010C6H4Br). Copyright \u00a9 1962 Verlag GmbH &amp; Co. KGaA, Weinheim", "author" : [ { "dropping-particle" : "", "family" : "Eloy", "given" : "F.", "non-dropping-particle" : "", "parse-names" : false, "suffix" : "" }, { "dropping-particle" : "", "family" : "Lenaers", "given" : "R.", "non-dropping-particle" : "", "parse-names" : false, "suffix" : "" }, { "dropping-particle" : "", "family" : "Moussebois", "given" : "C.", "non-dropping-particle" : "", "parse-names" : false, "suffix" : "" } ], "container-title" : "Helvetica Chimica Acta", "id" : "ITEM-1", "issue" : "2", "issued" : { "date-parts" : [ [ "1962" ] ] }, "page" : "437-441", "title" : "Synth\u00e8se de d\u00e9riv\u00e9s acyl\u00e9s de la formamidoxime", "type" : "article-journal", "volume" : "45" }, "uris" : [ "http://www.mendeley.com/documents/?uuid=3dfda0d8-153d-31a3-ad25-cbbfa40ac8ba" ] }, { "id" : "ITEM-2", "itemData" : { "DOI" : "10.1002/jlac.18731660304", "ISSN" : "00754617", "author" : [ { "dropping-particle" : "", "family" : "Lossen", "given" : "W.", "non-dropping-particle" : "", "parse-names" : false, "suffix" : "" }, { "dropping-particle" : "", "family" : "Schifferdecker", "given" : "P.", "non-dropping-particle" : "", "parse-names" : false, "suffix" : "" } ], "container-title" : "Justus Liebig's Annalen der Chemie und Pharmacie", "id" : "ITEM-2", "issue" : "3", "issued" : { "date-parts" : [ [ "1873" ] ] }, "page" : "295-320", "title" : "Ueber Isuretin, eine dem Harnstoff isomere Base", "type" : "article-journal", "volume" : "166" }, "uris" : [ "http://www.mendeley.com/documents/?uuid=f4da65c2-8614-33bf-9406-d47a596a925d" ] }, { "id" : "ITEM-3",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"ITEM-3",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"mendeley" : { "formattedCitation" : "&lt;sup&gt;4,45,46&lt;/sup&gt;", "plainTextFormattedCitation" : "4,45,46", "previouslyFormattedCitation" : "&lt;sup&gt;4,45,46&lt;/sup&gt;" }, "properties" : {  }, "schema" : "https://github.com/citation-style-language/schema/raw/master/csl-citation.json" }</w:instrText>
      </w:r>
      <w:r w:rsidR="0099656C" w:rsidRPr="001B5503">
        <w:fldChar w:fldCharType="separate"/>
      </w:r>
      <w:r w:rsidR="00D67546" w:rsidRPr="00D67546">
        <w:rPr>
          <w:noProof/>
          <w:vertAlign w:val="superscript"/>
        </w:rPr>
        <w:t>4,45,46</w:t>
      </w:r>
      <w:r w:rsidR="0099656C" w:rsidRPr="001B5503">
        <w:fldChar w:fldCharType="end"/>
      </w:r>
      <w:r w:rsidR="003B3E45" w:rsidRPr="001B5503">
        <w:t xml:space="preserve"> At the same time, </w:t>
      </w:r>
      <w:r w:rsidR="003259DC">
        <w:t>CsI</w:t>
      </w:r>
      <w:r w:rsidR="003B3E45" w:rsidRPr="001B5503">
        <w:t xml:space="preserve"> was modelled from a process of recovery of </w:t>
      </w:r>
      <w:r w:rsidR="003259DC">
        <w:t>Cs</w:t>
      </w:r>
      <w:r w:rsidR="003B3E45" w:rsidRPr="001B5503">
        <w:t xml:space="preserve"> from pollucite with sulphuric acid and hydroiodic acid as reagents</w:t>
      </w:r>
      <w:r w:rsidR="00EE2B2E" w:rsidRPr="001B5503">
        <w:t>.</w:t>
      </w:r>
      <w:r w:rsidR="0099656C" w:rsidRPr="001B5503">
        <w:fldChar w:fldCharType="begin" w:fldLock="1"/>
      </w:r>
      <w:r w:rsidR="004B36DA">
        <w:instrText>ADDIN CSL_CITATION { "citationItems" : [ { "id" : "ITEM-1", "itemData" : { "abstract" : "Disclosed is a method for producing a predetermined cesium compound. The method comprises treating a cesium-containing material with a suitable reagent to dissolve at least a portion of the cesium contained in the material and form a slurry; adding a base comprising slaked lime or calcium carbonate and an acid containing the anion of the predetermined cesium compound to the slurry comprising the dissolved cesium; and separating the predetermined cesium compound. In one embodiment of the invention there is provided a method for producing a predetermined cesium compound from an ore comprising cesium aluminosilicate comprising: treating an ore comprising cesium aluminosilicate with an acid to form a slurry and dissolve at least a portion of the cesium contained in the ore; adding a base comprising slaked lime or calcium carbonate and a quantity of an acid containing the anion of the predetermined cesium compound to the slurry comprising dissolved or solubilized cesium; and separating the predetermined cesium compound. A drilling fluid or heavy medium separation fluid comprising the predetermined cesium compound of the process and having a specific gravity of between about 1.2 g/cm3 and about 2.5 g/cm3 and having less than 85% by weight of the predetermined cesium compound on a solution basis is also disclosed.", "author" : [ { "dropping-particle" : "", "family" : "Brown", "given" : "Patrick M", "non-dropping-particle" : "", "parse-names" : false, "suffix" : "" }, { "dropping-particle" : "", "family" : "Northrup", "given" : "Michael C", "non-dropping-particle" : "", "parse-names" : false, "suffix" : "" }, { "dropping-particle" : "", "family" : "Bakke", "given" : "Bart F", "non-dropping-particle" : "", "parse-names" : false, "suffix" : "" } ], "id" : "ITEM-1", "issued" : { "date-parts" : [ [ "2002" ] ] }, "number" : "US6436879B1", "page" : "1-12", "publisher-place" : "United States", "title" : "Process for producing a predetermined cesium compound", "type" : "patent" }, "uris" : [ "http://www.mendeley.com/documents/?uuid=3ba400ba-156a-4587-b335-1fcbe9fc33d2" ] } ], "mendeley" : { "formattedCitation" : "&lt;sup&gt;47&lt;/sup&gt;", "plainTextFormattedCitation" : "47", "previouslyFormattedCitation" : "&lt;sup&gt;47&lt;/sup&gt;" }, "properties" : {  }, "schema" : "https://github.com/citation-style-language/schema/raw/master/csl-citation.json" }</w:instrText>
      </w:r>
      <w:r w:rsidR="0099656C" w:rsidRPr="001B5503">
        <w:fldChar w:fldCharType="separate"/>
      </w:r>
      <w:r w:rsidR="00D67546" w:rsidRPr="00D67546">
        <w:rPr>
          <w:noProof/>
          <w:vertAlign w:val="superscript"/>
        </w:rPr>
        <w:t>47</w:t>
      </w:r>
      <w:r w:rsidR="0099656C" w:rsidRPr="001B5503">
        <w:fldChar w:fldCharType="end"/>
      </w:r>
      <w:r w:rsidR="008D2B75" w:rsidRPr="001B5503">
        <w:t xml:space="preserve"> In addition, the characterisation factor of </w:t>
      </w:r>
      <w:r w:rsidR="003259DC">
        <w:t>Cs</w:t>
      </w:r>
      <w:r w:rsidR="008D2B75" w:rsidRPr="001B5503">
        <w:t xml:space="preserve"> for abiotic depletion potential category</w:t>
      </w:r>
      <w:r w:rsidR="00CB56AA" w:rsidRPr="001B5503">
        <w:t xml:space="preserve"> was obtained from two different methods</w:t>
      </w:r>
      <w:r w:rsidR="003259DC">
        <w:t xml:space="preserve"> </w:t>
      </w:r>
      <w:r w:rsidR="0071686F" w:rsidRPr="001B5503">
        <w:t>to contrast them</w:t>
      </w:r>
      <w:r w:rsidR="00CB56AA" w:rsidRPr="001B5503">
        <w:t>.</w:t>
      </w:r>
      <w:r w:rsidR="0071686F" w:rsidRPr="001B5503">
        <w:t xml:space="preserve"> The most utilised characterisation factor</w:t>
      </w:r>
      <w:r w:rsidR="003259DC">
        <w:t xml:space="preserve"> </w:t>
      </w:r>
      <w:r w:rsidR="0071686F" w:rsidRPr="001B5503">
        <w:t xml:space="preserve">in this work </w:t>
      </w:r>
      <w:r w:rsidR="008D2B75" w:rsidRPr="001B5503">
        <w:t>was extracted from literature</w:t>
      </w:r>
      <w:r w:rsidR="00EE2B2E" w:rsidRPr="001B5503">
        <w:t>.</w:t>
      </w:r>
      <w:r w:rsidR="0099656C" w:rsidRPr="001B5503">
        <w:fldChar w:fldCharType="begin" w:fldLock="1"/>
      </w:r>
      <w:r w:rsidR="00D67546">
        <w:instrText>ADDIN CSL_CITATION { "citationItems" : [ { "id" : "ITEM-1", "itemData" : { "DOI" : "10.1007/0-306-48055-7", "ISBN" : "978-1-4020-0228-1", "ISSN" : "1523-1755", "PMID" : "22042025", "abstract" : "Environmental policy aims at the transition to sustainable production and consumption. This is taking place in different ways and at different levels. In cases where businesses are continuously active to improve the environmental performance of their products and activities, the availability of knowledge on environmental impacts is indispensable. The integrated assessment of all environmental impacts from cradle to grave is the basis for many decisions relating to achieving improved products and services. The assessment tool most widely used for this is the environmental Life Cycle Assessment, or LCA. Before you is the new Handbook of LCA replacing the previous edition of 1992. New developments in LCA methodology from all over the world have been discussed and, where possible, included in this new Handbook. Integration of all developments into a new, consistent method has been the main aim for the new Handbook. The thinking on environment and sustainability is, however, quickly evolving so that it is already clear now that this new LCA Handbook does not embrace the very latest developments. Therefore, further revisions will have to take place in the future. A major advantage of this Handbook is that it now also advises which procedures should be followed to achieve adequate, relevant and accepted results. Furthermore, the distinction between detailed and simplified LCA makes this Handbook more broadly applicable, while guidance is provided as to which additional information can be relevant for specialised applications.", "author" : [ { "dropping-particle" : "", "family" : "Bruijn", "given" : "Hans", "non-dropping-particle" : "de", "parse-names" : false, "suffix" : "" }, { "dropping-particle" : "", "family" : "Duin", "given" : "Robbert", "non-dropping-particle" : "van", "parse-names" : false, "suffix" : "" }, { "dropping-particle" : "", "family" : "Huijbregts", "given" : "Mark A. J.", "non-dropping-particle" : "", "parse-names" : false, "suffix" : "" } ], "collection-title" : "Eco-Efficiency in Industry and Science", "container-title" : "Operational Guide to the ISO Standards", "editor" : [ { "dropping-particle" : "", "family" : "Guinee", "given" : "Jeroen B.", "non-dropping-particle" : "", "parse-names" : false, "suffix" : "" }, { "dropping-particle" : "", "family" : "Gorree", "given" : "Marieke", "non-dropping-particle" : "", "parse-names" : false, "suffix" : "" }, { "dropping-particle" : "", "family" : "Heijungs", "given" : "Reinout", "non-dropping-particle" : "", "parse-names" : false, "suffix" : "" }, { "dropping-particle" : "", "family" : "Huppes", "given" : "Gjalt", "non-dropping-particle" : "", "parse-names" : false, "suffix" : "" }, { "dropping-particle" : "", "family" : "Kleijn", "given" : "Ren\u00e9e", "non-dropping-particle" : "", "parse-names" : false, "suffix" : "" }, { "dropping-particle" : "", "family" : "Koning", "given" : "Arjan", "non-dropping-particle" : "de", "parse-names" : false, "suffix" : "" }, { "dropping-particle" : "", "family" : "Oers", "given" : "Lauran", "non-dropping-particle" : "van", "parse-names" : false, "suffix" : "" }, { "dropping-particle" : "", "family" : "Wegener Sleeswijk", "given" : "Anneke", "non-dropping-particle" : "", "parse-names" : false, "suffix" : "" }, { "dropping-particle" : "", "family" : "Suh", "given" : "Sangwon", "non-dropping-particle" : "", "parse-names" : false, "suffix" : "" }, { "dropping-particle" : "", "family" : "Udo de Haes", "given" : "Helias A.", "non-dropping-particle" : "", "parse-names" : false, "suffix" : "" } ], "id" : "ITEM-1", "issued" : { "date-parts" : [ [ "2002" ] ] }, "number-of-pages" : "687", "publisher" : "Springer Netherlands", "publisher-place" : "Dordrecht", "title" : "Handbook on Life Cycle Assessment", "type" : "book", "volume" : "7" }, "uris" : [ "http://www.mendeley.com/documents/?uuid=891d7c9b-4f36-4abf-8d27-3c9288436c5f" ] }, { "id" : "ITEM-2", "itemData" : { "DOI" : "10.1007/BF02994050", "ISSN" : "0948-3349", "abstract" : "Linoleum is a floor covering consisting mainly of linseed oil, other vegetable oils, wood flour and limestone on a carrier of jute. Forbo-Krommenie B.V. commissioned the Centre of Environmental Science (CML) to carry out an Environmental Life Cycle Assessment for linoleum floors. The goal of this study was to assess the environmental performance of linoleum floors, indicating possible options for improvement, and assessing the sensitivity of the results to methodological choices. The functional unit was defined as: 2000 m2 linoleum produced in 1998, used in an office or public building over a period of 20 years. The method followed in this study is based on a nearly final draft version of the LCA guide published by CML in corporation with many others, which is an update of the guide on LCA of 1992.", "author" : [ { "dropping-particle" : "", "family" : "Gorr\u00e9e", "given" : "Marieke", "non-dropping-particle" : "", "parse-names" : false, "suffix" : "" }, { "dropping-particle" : "", "family" : "Guin\u00e9e", "given" : "Jeroen B", "non-dropping-particle" : "", "parse-names" : false, "suffix" : "" }, { "dropping-particle" : "", "family" : "Huppes", "given" : "Gjalt", "non-dropping-particle" : "", "parse-names" : false, "suffix" : "" }, { "dropping-particle" : "van", "family" : "Oers", "given" : "Lauran", "non-dropping-particle" : "", "parse-names" : false, "suffix" : "" } ], "container-title" : "The International Journal of Life Cycle Assessment", "id" : "ITEM-2", "issue" : "3", "issued" : { "date-parts" : [ [ "2002", "5" ] ] }, "page" : "158-166", "title" : "Environmental life cycle assessment of linoleum", "type" : "article-journal", "volume" : "7" }, "uris" : [ "http://www.mendeley.com/documents/?uuid=29db1968-eab3-43a4-b302-9a02ce559926" ] } ], "mendeley" : { "formattedCitation" : "&lt;sup&gt;48,49&lt;/sup&gt;", "plainTextFormattedCitation" : "48,49", "previouslyFormattedCitation" : "&lt;sup&gt;48,49&lt;/sup&gt;" }, "properties" : {  }, "schema" : "https://github.com/citation-style-language/schema/raw/master/csl-citation.json" }</w:instrText>
      </w:r>
      <w:r w:rsidR="0099656C" w:rsidRPr="001B5503">
        <w:fldChar w:fldCharType="separate"/>
      </w:r>
      <w:r w:rsidR="00D67546" w:rsidRPr="00D67546">
        <w:rPr>
          <w:noProof/>
          <w:vertAlign w:val="superscript"/>
        </w:rPr>
        <w:t>48,49</w:t>
      </w:r>
      <w:r w:rsidR="0099656C" w:rsidRPr="001B5503">
        <w:fldChar w:fldCharType="end"/>
      </w:r>
      <w:r w:rsidR="003259DC">
        <w:t xml:space="preserve"> </w:t>
      </w:r>
      <w:r w:rsidR="002E3878" w:rsidRPr="001B5503">
        <w:t xml:space="preserve">For the sake of </w:t>
      </w:r>
      <w:r w:rsidR="009854E5" w:rsidRPr="001B5503">
        <w:t>presenting a comparison</w:t>
      </w:r>
      <w:r w:rsidR="0071686F" w:rsidRPr="001B5503">
        <w:t xml:space="preserve">, an updated factor was estimated based on </w:t>
      </w:r>
      <w:r w:rsidR="00606E2D" w:rsidRPr="001B5503">
        <w:t xml:space="preserve">data </w:t>
      </w:r>
      <w:r w:rsidR="0071686F" w:rsidRPr="001B5503">
        <w:t>f</w:t>
      </w:r>
      <w:r w:rsidR="00606E2D" w:rsidRPr="001B5503">
        <w:t>rom</w:t>
      </w:r>
      <w:r w:rsidR="002B2018" w:rsidRPr="001B5503">
        <w:t xml:space="preserve"> 2017</w:t>
      </w:r>
      <w:r w:rsidR="00EE2B2E" w:rsidRPr="001B5503">
        <w:t>,</w:t>
      </w:r>
      <w:r w:rsidR="0099656C" w:rsidRPr="001B5503">
        <w:fldChar w:fldCharType="begin" w:fldLock="1"/>
      </w:r>
      <w:r w:rsidR="00D67546">
        <w:instrText>ADDIN CSL_CITATION { "citationItems" : [ { "id" : "ITEM-1", "itemData" : { "ISBN" : "0-19-850340-7", "abstract" : "What is the most common element in the universe? Can you name the noble gases? Everything we see around us is made of chemical elements, but most of us know little about them. Penned by award-winning science writer John Emsley, Nature's Building Blocks explains the what, why and wherefore of the chemical elements. Arranged alphabetically, from Actinium to Zirconium, it is a complete guide to all 115 of those that are currently known, with more extensive coverage of those elements we encounter in our everyday life. The entry on each element reveals where it came from, what role it may have in the human body, and the foods that contain it. There are also sections on its discovery, its part in human health or illness, the uses and misuses to which it is put, and its environmental role. Readers discover that the Earth consists of around 90 elements, some of which are abundant, such as the silicon and oxygen of rocks and soils, while some are so rare that they make gold seem cheap. Our own bodies contain about 30 elements, some in abundance, some in trace amounts; some vital to our health, and some that are positively harmful. A list of the main scientific data, and outline properties, are given for every element and each section ends with an \"Element of Surprise,\" which highlights some unexpected way in which each element influences our everyday life. Both a reliable reference source and a high browsable account of the elements, Nature's Building Blocks offers a pleasurable tour of the very essence of our material world.", "author" : [ { "dropping-particle" : "", "family" : "Emsley", "given" : "John", "non-dropping-particle" : "", "parse-names" : false, "suffix" : "" } ], "id" : "ITEM-1", "issued" : { "date-parts" : [ [ "2001" ] ] }, "number-of-pages" : "1-538", "publisher" : "Oxford University Press", "publisher-place" : "Oxford", "title" : "Nature's Building Blocks: An A-Z Guide to the Elements", "type" : "book" }, "uris" : [ "http://www.mendeley.com/documents/?uuid=181f2e85-dc2d-4497-8d9b-1d89663b9210" ] }, { "id" : "ITEM-2", "itemData" : { "DOI" : "10.3133/70180197", "ISBN" : "978-1-4113-4104-3", "abstract" : "Each chapter of the 2017 edition of the U.S. Geological Survey (USGS) Mineral Commodity Summaries (MCS) includes information on events, trends, and issues for each mineral commodity as well as discussions and tabular presentations on domestic industry structure, Government programs, tariffs, 5-year salient statistics, and world production and resources. The MCS is the earliest comprehensive source of 2016 mineral production data for the world. More than 90 individual minerals and materials are covered by two-page synopses. For mineral commodities for which there is a Government stockpile, detailed information concerning the stockpile status is included in the two-page synopsis. Abbreviations and units of measure, and definitions of selected terms used in the report, are in Appendix A and Appendix B, respectively. \u201cAppendix C\u2014Reserves and Resources\u201d includes \u201cPart A\u2014Resource/Reserve Classification for Minerals\u201d and \u201cPart B\u2014Sources of Reserves Data.\u201d A directory of USGS minerals information country specialists and their assigned countries is Appendix D. The USGS continually strives to improve the value of its publications to users. Constructive comments and suggestions by readers of the MCS 2017 are welcomed.", "author" : [ { "dropping-particle" : "", "family" : "U.S. Geological Survey", "given" : "", "non-dropping-particle" : "", "parse-names" : false, "suffix" : "" } ], "id" : "ITEM-2", "issued" : { "date-parts" : [ [ "2017" ] ] }, "number-of-pages" : "1-202", "publisher-place" : "Reston, Virginia", "title" : "Mineral Commodities Summaries 2017", "type" : "report" }, "uris" : [ "http://www.mendeley.com/documents/?uuid=d46f3681-35be-43ba-9fc2-0229b77b7737" ] } ], "mendeley" : { "formattedCitation" : "&lt;sup&gt;50,51&lt;/sup&gt;", "plainTextFormattedCitation" : "50,51", "previouslyFormattedCitation" : "&lt;sup&gt;50,51&lt;/sup&gt;" }, "properties" : {  }, "schema" : "https://github.com/citation-style-language/schema/raw/master/csl-citation.json" }</w:instrText>
      </w:r>
      <w:r w:rsidR="0099656C" w:rsidRPr="001B5503">
        <w:fldChar w:fldCharType="separate"/>
      </w:r>
      <w:r w:rsidR="00D67546" w:rsidRPr="00D67546">
        <w:rPr>
          <w:noProof/>
          <w:vertAlign w:val="superscript"/>
        </w:rPr>
        <w:t>50,51</w:t>
      </w:r>
      <w:r w:rsidR="0099656C" w:rsidRPr="001B5503">
        <w:fldChar w:fldCharType="end"/>
      </w:r>
      <w:r w:rsidR="008B508A" w:rsidRPr="001B5503">
        <w:t xml:space="preserve"> according to the methodology description</w:t>
      </w:r>
      <w:r w:rsidR="00EE2B2E" w:rsidRPr="001B5503">
        <w:t>.</w:t>
      </w:r>
      <w:r w:rsidR="0099656C" w:rsidRPr="001B5503">
        <w:fldChar w:fldCharType="begin" w:fldLock="1"/>
      </w:r>
      <w:r w:rsidR="00D67546">
        <w:instrText>ADDIN CSL_CITATION { "citationItems" : [ { "id" : "ITEM-1", "itemData" : { "DOI" : "10.1007/0-306-48055-7", "ISBN" : "978-1-4020-0228-1", "ISSN" : "1523-1755", "PMID" : "22042025", "abstract" : "Environmental policy aims at the transition to sustainable production and consumption. This is taking place in different ways and at different levels. In cases where businesses are continuously active to improve the environmental performance of their products and activities, the availability of knowledge on environmental impacts is indispensable. The integrated assessment of all environmental impacts from cradle to grave is the basis for many decisions relating to achieving improved products and services. The assessment tool most widely used for this is the environmental Life Cycle Assessment, or LCA. Before you is the new Handbook of LCA replacing the previous edition of 1992. New developments in LCA methodology from all over the world have been discussed and, where possible, included in this new Handbook. Integration of all developments into a new, consistent method has been the main aim for the new Handbook. The thinking on environment and sustainability is, however, quickly evolving so that it is already clear now that this new LCA Handbook does not embrace the very latest developments. Therefore, further revisions will have to take place in the future. A major advantage of this Handbook is that it now also advises which procedures should be followed to achieve adequate, relevant and accepted results. Furthermore, the distinction between detailed and simplified LCA makes this Handbook more broadly applicable, while guidance is provided as to which additional information can be relevant for specialised applications.", "author" : [ { "dropping-particle" : "", "family" : "Bruijn", "given" : "Hans", "non-dropping-particle" : "de", "parse-names" : false, "suffix" : "" }, { "dropping-particle" : "", "family" : "Duin", "given" : "Robbert", "non-dropping-particle" : "van", "parse-names" : false, "suffix" : "" }, { "dropping-particle" : "", "family" : "Huijbregts", "given" : "Mark A. J.", "non-dropping-particle" : "", "parse-names" : false, "suffix" : "" } ], "collection-title" : "Eco-Efficiency in Industry and Science", "container-title" : "Operational Guide to the ISO Standards", "editor" : [ { "dropping-particle" : "", "family" : "Guinee", "given" : "Jeroen B.", "non-dropping-particle" : "", "parse-names" : false, "suffix" : "" }, { "dropping-particle" : "", "family" : "Gorree", "given" : "Marieke", "non-dropping-particle" : "", "parse-names" : false, "suffix" : "" }, { "dropping-particle" : "", "family" : "Heijungs", "given" : "Reinout", "non-dropping-particle" : "", "parse-names" : false, "suffix" : "" }, { "dropping-particle" : "", "family" : "Huppes", "given" : "Gjalt", "non-dropping-particle" : "", "parse-names" : false, "suffix" : "" }, { "dropping-particle" : "", "family" : "Kleijn", "given" : "Ren\u00e9e", "non-dropping-particle" : "", "parse-names" : false, "suffix" : "" }, { "dropping-particle" : "", "family" : "Koning", "given" : "Arjan", "non-dropping-particle" : "de", "parse-names" : false, "suffix" : "" }, { "dropping-particle" : "", "family" : "Oers", "given" : "Lauran", "non-dropping-particle" : "van", "parse-names" : false, "suffix" : "" }, { "dropping-particle" : "", "family" : "Wegener Sleeswijk", "given" : "Anneke", "non-dropping-particle" : "", "parse-names" : false, "suffix" : "" }, { "dropping-particle" : "", "family" : "Suh", "given" : "Sangwon", "non-dropping-particle" : "", "parse-names" : false, "suffix" : "" }, { "dropping-particle" : "", "family" : "Udo de Haes", "given" : "Helias A.", "non-dropping-particle" : "", "parse-names" : false, "suffix" : "" } ], "id" : "ITEM-1", "issued" : { "date-parts" : [ [ "2002" ] ] }, "number-of-pages" : "687", "publisher" : "Springer Netherlands", "publisher-place" : "Dordrecht", "title" : "Handbook on Life Cycle Assessment", "type" : "book", "volume" : "7" }, "uris" : [ "http://www.mendeley.com/documents/?uuid=3655fcdb-dd20-4240-a6c0-89d200aae7d9" ] } ], "mendeley" : { "formattedCitation" : "&lt;sup&gt;48&lt;/sup&gt;", "plainTextFormattedCitation" : "48", "previouslyFormattedCitation" : "&lt;sup&gt;48&lt;/sup&gt;" }, "properties" : {  }, "schema" : "https://github.com/citation-style-language/schema/raw/master/csl-citation.json" }</w:instrText>
      </w:r>
      <w:r w:rsidR="0099656C" w:rsidRPr="001B5503">
        <w:fldChar w:fldCharType="separate"/>
      </w:r>
      <w:r w:rsidR="00D67546" w:rsidRPr="00D67546">
        <w:rPr>
          <w:noProof/>
          <w:vertAlign w:val="superscript"/>
        </w:rPr>
        <w:t>48</w:t>
      </w:r>
      <w:r w:rsidR="0099656C" w:rsidRPr="001B5503">
        <w:fldChar w:fldCharType="end"/>
      </w:r>
    </w:p>
    <w:p w14:paraId="6775F5D9" w14:textId="77777777" w:rsidR="0053100D" w:rsidRPr="001B5503" w:rsidRDefault="0053100D" w:rsidP="0053100D">
      <w:r w:rsidRPr="001B5503">
        <w:t>From the stoichiometr</w:t>
      </w:r>
      <w:r w:rsidR="00281810" w:rsidRPr="001B5503">
        <w:t xml:space="preserve">ic coefficients </w:t>
      </w:r>
      <w:r w:rsidR="008B78D2" w:rsidRPr="001B5503">
        <w:t>(</w:t>
      </w:r>
      <w:r w:rsidR="0099656C" w:rsidRPr="001B5503">
        <w:fldChar w:fldCharType="begin"/>
      </w:r>
      <w:r w:rsidR="008B78D2" w:rsidRPr="001B5503">
        <w:instrText xml:space="preserve"> REF _Ref471930583 \h </w:instrText>
      </w:r>
      <w:r w:rsidR="0099656C" w:rsidRPr="001B5503">
        <w:fldChar w:fldCharType="separate"/>
      </w:r>
      <w:r w:rsidR="003F1937" w:rsidRPr="001B5503">
        <w:t xml:space="preserve">Table </w:t>
      </w:r>
      <w:r w:rsidR="003F1937">
        <w:rPr>
          <w:noProof/>
        </w:rPr>
        <w:t>1</w:t>
      </w:r>
      <w:r w:rsidR="0099656C" w:rsidRPr="001B5503">
        <w:fldChar w:fldCharType="end"/>
      </w:r>
      <w:r w:rsidR="008B78D2" w:rsidRPr="001B5503">
        <w:t xml:space="preserve">) </w:t>
      </w:r>
      <w:r w:rsidR="00281810" w:rsidRPr="001B5503">
        <w:t xml:space="preserve">and the </w:t>
      </w:r>
      <w:r w:rsidR="003340B6" w:rsidRPr="001B5503">
        <w:t>amount</w:t>
      </w:r>
      <w:r w:rsidR="00281810" w:rsidRPr="001B5503">
        <w:t xml:space="preserve"> of</w:t>
      </w:r>
      <w:r w:rsidR="005443B4" w:rsidRPr="001B5503">
        <w:t xml:space="preserve"> perovskite</w:t>
      </w:r>
      <w:r w:rsidRPr="001B5503">
        <w:t>, the amount of each reagent was obtained</w:t>
      </w:r>
      <w:r w:rsidR="007752A5" w:rsidRPr="001B5503">
        <w:t xml:space="preserve">, which are reported in </w:t>
      </w:r>
      <w:r w:rsidR="0099656C" w:rsidRPr="001B5503">
        <w:fldChar w:fldCharType="begin"/>
      </w:r>
      <w:r w:rsidR="007752A5" w:rsidRPr="001B5503">
        <w:instrText xml:space="preserve"> REF _Ref472968601 \h </w:instrText>
      </w:r>
      <w:r w:rsidR="0099656C" w:rsidRPr="001B5503">
        <w:fldChar w:fldCharType="separate"/>
      </w:r>
      <w:r w:rsidR="003F1937" w:rsidRPr="001B5503">
        <w:t xml:space="preserve">Table </w:t>
      </w:r>
      <w:r w:rsidR="003F1937">
        <w:rPr>
          <w:noProof/>
        </w:rPr>
        <w:t>2</w:t>
      </w:r>
      <w:r w:rsidR="0099656C" w:rsidRPr="001B5503">
        <w:fldChar w:fldCharType="end"/>
      </w:r>
      <w:r w:rsidRPr="001B5503">
        <w:t>.</w:t>
      </w:r>
      <w:r w:rsidR="003259DC">
        <w:t xml:space="preserve"> </w:t>
      </w:r>
      <w:r w:rsidR="003340B6" w:rsidRPr="001B5503">
        <w:t xml:space="preserve">The </w:t>
      </w:r>
      <w:r w:rsidR="003B0DB8" w:rsidRPr="001B5503">
        <w:t>mass</w:t>
      </w:r>
      <w:r w:rsidR="003340B6" w:rsidRPr="001B5503">
        <w:t xml:space="preserve"> of</w:t>
      </w:r>
      <w:r w:rsidR="005443B4" w:rsidRPr="001B5503">
        <w:t xml:space="preserve"> perovskite was calculated </w:t>
      </w:r>
      <w:r w:rsidR="003B0DB8" w:rsidRPr="001B5503">
        <w:t>by multiplying the perovskite’s density</w:t>
      </w:r>
      <w:r w:rsidR="0099656C" w:rsidRPr="001B5503">
        <w:fldChar w:fldCharType="begin" w:fldLock="1"/>
      </w:r>
      <w:r w:rsidR="00D67546">
        <w:instrText>ADDIN CSL_CITATION { "citationItems" : [ { "id" : "ITEM-1", "itemData" : { "DOI" : "10.1021/ic401215x", "ISSN" : "1520-510X", "PMID" : "23834108", "abstract" : "A broad organic-inorganic series of hybrid metal iodide perovskites with the general formulation AMI3, where A is the methylammonium (CH3NH3(+)) or formamidinium (HC(NH2)2(+)) cation and M is Sn (1 and 2) or Pb (3 and 4) are reported. The compounds have been prepared through a variety of synthetic approaches, and the nature of the resulting materials is discussed in terms of their thermal stability and optical and electronic properties. We find that the chemical and physical properties of these materials strongly depend on the preparation method. Single crystal X-ray diffraction analysis of 1-4 classifies the compounds in the perovskite structural family. Structural phase transitions were observed and investigated by temperature-dependent single crystal X-ray diffraction in the 100-400 K range. The charge transport properties of the materials are discussed in conjunction with diffuse reflectance studies in the mid-IR region that display characteristic absorption features. Temperature-dependent studies show a strong dependence of the resistivity as a function of the crystal structure. Optical absorption measurements indicate that 1-4 behave as direct-gap semiconductors with energy band gaps distributed in the range of 1.25-1.75 eV. The compounds exhibit an intense near-IR photoluminescence (PL) emission in the 700-1000 nm range (1.1-1.7 eV) at room temperature. We show that solid solutions between the Sn and Pb compounds are readily accessible throughout the composition range. The optical properties such as energy band gap, emission intensity, and wavelength can be readily controlled as we show for the isostructural series of solid solutions CH3NH3Sn(1-x)Pb(x)I3 (5). The charge transport type in these materials was characterized by Seebeck coefficient and Hall-effect measurements. The compounds behave as p- or n-type semiconductors depending on the preparation method. The samples with the lowest carrier concentration are prepared from solution and are n-type; p-type samples can be obtained through solid state reactions exposed in air in a controllable manner. In the case of Sn compounds, there is a facile tendency toward oxidation which causes the materials to be doped with Sn(4+) and thus behave as p-type semiconductors displaying metal-like conductivity. The compounds appear to possess very high estimated electron and hole mobilities that exceed 2000 cm(2)/(V s) and 300 cm(2)/(V s), respectively, as shown in the case of CH3NH3SnI3 (1). We also compare \u2026", "author" : [ { "dropping-particle" : "", "family" : "Stoumpos", "given" : "Constantinos C", "non-dropping-particle" : "", "parse-names" : false, "suffix" : "" }, { "dropping-particle" : "", "family" : "Malliakas", "given" : "Christos D", "non-dropping-particle" : "", "parse-names" : false, "suffix" : "" }, { "dropping-particle" : "", "family" : "Kanatzidis", "given" : "Mercouri G", "non-dropping-particle" : "", "parse-names" : false, "suffix" : "" } ], "container-title" : "Inorganic chemistry", "id" : "ITEM-1", "issue" : "15", "issued" : { "date-parts" : [ [ "2013", "8", "5" ] ] }, "page" : "9019-38", "title" : "Semiconducting tin and lead iodide perovskites with organic cations: phase transitions, high mobilities, and near-infrared photoluminescent properties.", "type" : "article-journal", "volume" : "52" }, "uris" : [ "http://www.mendeley.com/documents/?uuid=0c8f6111-2674-4a68-b751-f0481bed3dda" ] } ], "mendeley" : { "formattedCitation" : "&lt;sup&gt;23&lt;/sup&gt;", "plainTextFormattedCitation" : "23", "previouslyFormattedCitation" : "&lt;sup&gt;23&lt;/sup&gt;" }, "properties" : {  }, "schema" : "https://github.com/citation-style-language/schema/raw/master/csl-citation.json" }</w:instrText>
      </w:r>
      <w:r w:rsidR="0099656C" w:rsidRPr="001B5503">
        <w:fldChar w:fldCharType="separate"/>
      </w:r>
      <w:r w:rsidR="00D67546" w:rsidRPr="00D67546">
        <w:rPr>
          <w:noProof/>
          <w:vertAlign w:val="superscript"/>
        </w:rPr>
        <w:t>23</w:t>
      </w:r>
      <w:r w:rsidR="0099656C" w:rsidRPr="001B5503">
        <w:fldChar w:fldCharType="end"/>
      </w:r>
      <w:r w:rsidR="003B0DB8" w:rsidRPr="001B5503">
        <w:t xml:space="preserve"> by the volume of perovskite deposited in the cell. The volume was obtained </w:t>
      </w:r>
      <w:r w:rsidR="005E0960" w:rsidRPr="001B5503">
        <w:t xml:space="preserve">by multiplying </w:t>
      </w:r>
      <w:r w:rsidR="005443B4" w:rsidRPr="001B5503">
        <w:t>25 cm</w:t>
      </w:r>
      <w:r w:rsidR="005443B4" w:rsidRPr="001B5503">
        <w:rPr>
          <w:vertAlign w:val="superscript"/>
        </w:rPr>
        <w:t>2</w:t>
      </w:r>
      <w:r w:rsidR="005443B4" w:rsidRPr="001B5503">
        <w:t xml:space="preserve"> of substrate area and </w:t>
      </w:r>
      <w:r w:rsidR="005E0960" w:rsidRPr="001B5503">
        <w:t xml:space="preserve">500 nm of </w:t>
      </w:r>
      <w:r w:rsidR="005443B4" w:rsidRPr="001B5503">
        <w:t>thickness of perovskite layer, which w</w:t>
      </w:r>
      <w:r w:rsidR="005E0960" w:rsidRPr="001B5503">
        <w:t>ere</w:t>
      </w:r>
      <w:r w:rsidR="003259DC">
        <w:t xml:space="preserve"> </w:t>
      </w:r>
      <w:r w:rsidR="00A66BBD" w:rsidRPr="001B5503">
        <w:t>assumed</w:t>
      </w:r>
      <w:r w:rsidR="005F1208" w:rsidRPr="001B5503">
        <w:t>.</w:t>
      </w:r>
    </w:p>
    <w:p w14:paraId="33658523" w14:textId="77777777" w:rsidR="004A46D0" w:rsidRPr="001B5503" w:rsidRDefault="004A46D0" w:rsidP="00363920">
      <w:pPr>
        <w:pStyle w:val="Descripcin"/>
      </w:pPr>
      <w:bookmarkStart w:id="6" w:name="_Ref472968601"/>
      <w:r w:rsidRPr="001B5503">
        <w:t xml:space="preserve">Table </w:t>
      </w:r>
      <w:r w:rsidR="0099656C" w:rsidRPr="001B5503">
        <w:fldChar w:fldCharType="begin"/>
      </w:r>
      <w:r w:rsidR="003336A3" w:rsidRPr="001B5503">
        <w:instrText xml:space="preserve"> SEQ Table \* ARABIC </w:instrText>
      </w:r>
      <w:r w:rsidR="0099656C" w:rsidRPr="001B5503">
        <w:fldChar w:fldCharType="separate"/>
      </w:r>
      <w:r w:rsidR="001750EF">
        <w:rPr>
          <w:noProof/>
        </w:rPr>
        <w:t>2</w:t>
      </w:r>
      <w:r w:rsidR="0099656C" w:rsidRPr="001B5503">
        <w:fldChar w:fldCharType="end"/>
      </w:r>
      <w:bookmarkEnd w:id="6"/>
      <w:r w:rsidR="00EE2B2E" w:rsidRPr="001B5503">
        <w:t>.</w:t>
      </w:r>
      <w:r w:rsidR="001237FD" w:rsidRPr="001B5503">
        <w:rPr>
          <w:b w:val="0"/>
        </w:rPr>
        <w:t xml:space="preserve"> Inventory of chemicals used for the syntheses of </w:t>
      </w:r>
      <w:r w:rsidR="00C472A3" w:rsidRPr="001B5503">
        <w:rPr>
          <w:b w:val="0"/>
        </w:rPr>
        <w:t xml:space="preserve">the perovskites </w:t>
      </w:r>
      <w:r w:rsidR="00F674CD" w:rsidRPr="001B5503">
        <w:rPr>
          <w:b w:val="0"/>
        </w:rPr>
        <w:t>(</w:t>
      </w:r>
      <w:r w:rsidR="00C95D2B" w:rsidRPr="001B5503">
        <w:rPr>
          <w:rFonts w:cs="Calibri"/>
          <w:b w:val="0"/>
        </w:rPr>
        <w:t>μ</w:t>
      </w:r>
      <w:r w:rsidR="00F674CD" w:rsidRPr="001B5503">
        <w:rPr>
          <w:b w:val="0"/>
        </w:rPr>
        <w:t>g</w:t>
      </w:r>
      <w:r w:rsidR="003259DC">
        <w:rPr>
          <w:b w:val="0"/>
        </w:rPr>
        <w:t>/</w:t>
      </w:r>
      <w:r w:rsidR="00F674CD" w:rsidRPr="001B5503">
        <w:rPr>
          <w:b w:val="0"/>
        </w:rPr>
        <w:t>cm</w:t>
      </w:r>
      <w:r w:rsidR="00F674CD" w:rsidRPr="001B5503">
        <w:rPr>
          <w:b w:val="0"/>
          <w:vertAlign w:val="superscript"/>
        </w:rPr>
        <w:t>2</w:t>
      </w:r>
      <w:r w:rsidR="00F674CD" w:rsidRPr="001B5503">
        <w:rPr>
          <w:b w:val="0"/>
        </w:rPr>
        <w:t>)</w:t>
      </w:r>
      <w:r w:rsidR="00F4296A" w:rsidRPr="001B5503">
        <w:rPr>
          <w:b w:val="0"/>
        </w:rPr>
        <w:t>.</w:t>
      </w:r>
    </w:p>
    <w:tbl>
      <w:tblPr>
        <w:tblW w:w="56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850"/>
        <w:gridCol w:w="850"/>
        <w:gridCol w:w="850"/>
        <w:gridCol w:w="850"/>
        <w:gridCol w:w="850"/>
      </w:tblGrid>
      <w:tr w:rsidR="004A46D0" w:rsidRPr="001B5503" w14:paraId="5664D824" w14:textId="77777777" w:rsidTr="00C52E6B">
        <w:trPr>
          <w:trHeight w:val="360"/>
        </w:trPr>
        <w:tc>
          <w:tcPr>
            <w:tcW w:w="1383" w:type="dxa"/>
            <w:vAlign w:val="center"/>
          </w:tcPr>
          <w:p w14:paraId="58B15A7E" w14:textId="77777777" w:rsidR="007A70C1" w:rsidRPr="001B5503" w:rsidRDefault="004A46D0" w:rsidP="004A46D0">
            <w:pPr>
              <w:pStyle w:val="Taula"/>
              <w:rPr>
                <w:b/>
                <w:lang w:eastAsia="es-ES"/>
              </w:rPr>
            </w:pPr>
            <w:r w:rsidRPr="001B5503">
              <w:rPr>
                <w:b/>
                <w:lang w:eastAsia="es-ES"/>
              </w:rPr>
              <w:t>Reagents</w:t>
            </w:r>
            <w:r w:rsidR="003D7156" w:rsidRPr="001B5503">
              <w:rPr>
                <w:b/>
                <w:lang w:eastAsia="es-ES"/>
              </w:rPr>
              <w:t>/Solvents</w:t>
            </w:r>
          </w:p>
        </w:tc>
        <w:tc>
          <w:tcPr>
            <w:tcW w:w="850" w:type="dxa"/>
            <w:shd w:val="clear" w:color="auto" w:fill="auto"/>
            <w:noWrap/>
            <w:vAlign w:val="center"/>
          </w:tcPr>
          <w:p w14:paraId="26E97841" w14:textId="77777777" w:rsidR="007A70C1" w:rsidRPr="001B5503" w:rsidRDefault="007A70C1" w:rsidP="00C95D2B">
            <w:pPr>
              <w:pStyle w:val="Taula"/>
              <w:jc w:val="center"/>
              <w:rPr>
                <w:b/>
                <w:lang w:eastAsia="es-ES"/>
              </w:rPr>
            </w:pPr>
            <w:r w:rsidRPr="001B5503">
              <w:rPr>
                <w:b/>
                <w:lang w:eastAsia="es-ES"/>
              </w:rPr>
              <w:t>0</w:t>
            </w:r>
            <w:r w:rsidR="006C6408" w:rsidRPr="001B5503">
              <w:rPr>
                <w:b/>
                <w:lang w:eastAsia="es-ES"/>
              </w:rPr>
              <w:t>.00</w:t>
            </w:r>
          </w:p>
        </w:tc>
        <w:tc>
          <w:tcPr>
            <w:tcW w:w="850" w:type="dxa"/>
            <w:shd w:val="clear" w:color="auto" w:fill="auto"/>
            <w:noWrap/>
            <w:vAlign w:val="center"/>
          </w:tcPr>
          <w:p w14:paraId="65B71F57" w14:textId="77777777" w:rsidR="007A70C1" w:rsidRPr="001B5503" w:rsidRDefault="006C6408" w:rsidP="00C95D2B">
            <w:pPr>
              <w:pStyle w:val="Taula"/>
              <w:jc w:val="center"/>
              <w:rPr>
                <w:b/>
                <w:lang w:eastAsia="es-ES"/>
              </w:rPr>
            </w:pPr>
            <w:r w:rsidRPr="001B5503">
              <w:rPr>
                <w:b/>
                <w:lang w:eastAsia="es-ES"/>
              </w:rPr>
              <w:t>0.0</w:t>
            </w:r>
            <w:r w:rsidR="007A70C1" w:rsidRPr="001B5503">
              <w:rPr>
                <w:b/>
                <w:lang w:eastAsia="es-ES"/>
              </w:rPr>
              <w:t>5</w:t>
            </w:r>
          </w:p>
        </w:tc>
        <w:tc>
          <w:tcPr>
            <w:tcW w:w="850" w:type="dxa"/>
            <w:shd w:val="clear" w:color="auto" w:fill="auto"/>
            <w:noWrap/>
            <w:vAlign w:val="center"/>
          </w:tcPr>
          <w:p w14:paraId="3D3A429E" w14:textId="77777777" w:rsidR="007A70C1" w:rsidRPr="001B5503" w:rsidRDefault="006C6408" w:rsidP="00C95D2B">
            <w:pPr>
              <w:pStyle w:val="Taula"/>
              <w:jc w:val="center"/>
              <w:rPr>
                <w:b/>
                <w:lang w:eastAsia="es-ES"/>
              </w:rPr>
            </w:pPr>
            <w:r w:rsidRPr="001B5503">
              <w:rPr>
                <w:b/>
                <w:lang w:eastAsia="es-ES"/>
              </w:rPr>
              <w:t>0.</w:t>
            </w:r>
            <w:r w:rsidR="007A70C1" w:rsidRPr="001B5503">
              <w:rPr>
                <w:b/>
                <w:lang w:eastAsia="es-ES"/>
              </w:rPr>
              <w:t>10</w:t>
            </w:r>
          </w:p>
        </w:tc>
        <w:tc>
          <w:tcPr>
            <w:tcW w:w="850" w:type="dxa"/>
            <w:shd w:val="clear" w:color="auto" w:fill="auto"/>
            <w:noWrap/>
            <w:vAlign w:val="center"/>
          </w:tcPr>
          <w:p w14:paraId="7F1A8475" w14:textId="77777777" w:rsidR="007A70C1" w:rsidRPr="001B5503" w:rsidRDefault="006C6408" w:rsidP="00C95D2B">
            <w:pPr>
              <w:pStyle w:val="Taula"/>
              <w:jc w:val="center"/>
              <w:rPr>
                <w:b/>
                <w:lang w:eastAsia="es-ES"/>
              </w:rPr>
            </w:pPr>
            <w:r w:rsidRPr="001B5503">
              <w:rPr>
                <w:b/>
                <w:lang w:eastAsia="es-ES"/>
              </w:rPr>
              <w:t>0.</w:t>
            </w:r>
            <w:r w:rsidR="007A70C1" w:rsidRPr="001B5503">
              <w:rPr>
                <w:b/>
                <w:lang w:eastAsia="es-ES"/>
              </w:rPr>
              <w:t>15</w:t>
            </w:r>
          </w:p>
        </w:tc>
        <w:tc>
          <w:tcPr>
            <w:tcW w:w="850" w:type="dxa"/>
            <w:shd w:val="clear" w:color="auto" w:fill="auto"/>
            <w:noWrap/>
            <w:vAlign w:val="center"/>
          </w:tcPr>
          <w:p w14:paraId="37586D46" w14:textId="77777777" w:rsidR="007A70C1" w:rsidRPr="001B5503" w:rsidRDefault="007A70C1" w:rsidP="00C95D2B">
            <w:pPr>
              <w:pStyle w:val="Taula"/>
              <w:jc w:val="center"/>
              <w:rPr>
                <w:b/>
                <w:lang w:eastAsia="es-ES"/>
              </w:rPr>
            </w:pPr>
            <w:r w:rsidRPr="001B5503">
              <w:rPr>
                <w:b/>
                <w:lang w:eastAsia="es-ES"/>
              </w:rPr>
              <w:t>Canonical</w:t>
            </w:r>
          </w:p>
        </w:tc>
      </w:tr>
      <w:tr w:rsidR="004A46D0" w:rsidRPr="001B5503" w14:paraId="647FC058" w14:textId="77777777" w:rsidTr="00C52E6B">
        <w:trPr>
          <w:trHeight w:val="300"/>
        </w:trPr>
        <w:tc>
          <w:tcPr>
            <w:tcW w:w="1383" w:type="dxa"/>
            <w:vAlign w:val="center"/>
          </w:tcPr>
          <w:p w14:paraId="75C4C261" w14:textId="77777777" w:rsidR="007A70C1" w:rsidRPr="001B5503" w:rsidRDefault="007A70C1" w:rsidP="004A46D0">
            <w:pPr>
              <w:pStyle w:val="Taula"/>
              <w:rPr>
                <w:lang w:eastAsia="es-ES"/>
              </w:rPr>
            </w:pPr>
            <w:r w:rsidRPr="001B5503">
              <w:rPr>
                <w:lang w:eastAsia="es-ES"/>
              </w:rPr>
              <w:t>CsI</w:t>
            </w:r>
          </w:p>
        </w:tc>
        <w:tc>
          <w:tcPr>
            <w:tcW w:w="850" w:type="dxa"/>
            <w:shd w:val="clear" w:color="auto" w:fill="auto"/>
            <w:noWrap/>
            <w:vAlign w:val="center"/>
          </w:tcPr>
          <w:p w14:paraId="1861F342" w14:textId="77777777" w:rsidR="007A70C1" w:rsidRPr="001B5503" w:rsidRDefault="007A70C1" w:rsidP="00C95D2B">
            <w:pPr>
              <w:pStyle w:val="Taula"/>
              <w:jc w:val="center"/>
              <w:rPr>
                <w:lang w:eastAsia="es-ES"/>
              </w:rPr>
            </w:pPr>
            <w:r w:rsidRPr="001B5503">
              <w:rPr>
                <w:lang w:eastAsia="es-ES"/>
              </w:rPr>
              <w:t>0</w:t>
            </w:r>
          </w:p>
        </w:tc>
        <w:tc>
          <w:tcPr>
            <w:tcW w:w="850" w:type="dxa"/>
            <w:shd w:val="clear" w:color="auto" w:fill="auto"/>
            <w:noWrap/>
            <w:vAlign w:val="center"/>
          </w:tcPr>
          <w:p w14:paraId="00BDF3BC" w14:textId="77777777" w:rsidR="007A70C1" w:rsidRPr="001B5503" w:rsidRDefault="0013632C" w:rsidP="00C95D2B">
            <w:pPr>
              <w:pStyle w:val="Taula"/>
              <w:jc w:val="center"/>
              <w:rPr>
                <w:lang w:eastAsia="es-ES"/>
              </w:rPr>
            </w:pPr>
            <w:r w:rsidRPr="001B5503">
              <w:rPr>
                <w:lang w:eastAsia="es-ES"/>
              </w:rPr>
              <w:t>4.</w:t>
            </w:r>
            <w:r w:rsidR="00442242" w:rsidRPr="001B5503">
              <w:rPr>
                <w:lang w:eastAsia="es-ES"/>
              </w:rPr>
              <w:t>38</w:t>
            </w:r>
          </w:p>
        </w:tc>
        <w:tc>
          <w:tcPr>
            <w:tcW w:w="850" w:type="dxa"/>
            <w:shd w:val="clear" w:color="auto" w:fill="auto"/>
            <w:noWrap/>
            <w:vAlign w:val="center"/>
          </w:tcPr>
          <w:p w14:paraId="123C3516" w14:textId="77777777" w:rsidR="007A70C1" w:rsidRPr="001B5503" w:rsidRDefault="00442242" w:rsidP="00C95D2B">
            <w:pPr>
              <w:pStyle w:val="Taula"/>
              <w:jc w:val="center"/>
              <w:rPr>
                <w:lang w:eastAsia="es-ES"/>
              </w:rPr>
            </w:pPr>
            <w:r w:rsidRPr="001B5503">
              <w:rPr>
                <w:lang w:eastAsia="es-ES"/>
              </w:rPr>
              <w:t>8</w:t>
            </w:r>
            <w:r w:rsidR="0013632C" w:rsidRPr="001B5503">
              <w:rPr>
                <w:lang w:eastAsia="es-ES"/>
              </w:rPr>
              <w:t>.</w:t>
            </w:r>
            <w:r w:rsidRPr="001B5503">
              <w:rPr>
                <w:lang w:eastAsia="es-ES"/>
              </w:rPr>
              <w:t>76</w:t>
            </w:r>
          </w:p>
        </w:tc>
        <w:tc>
          <w:tcPr>
            <w:tcW w:w="850" w:type="dxa"/>
            <w:shd w:val="clear" w:color="auto" w:fill="auto"/>
            <w:noWrap/>
            <w:vAlign w:val="center"/>
          </w:tcPr>
          <w:p w14:paraId="2ACD52E7" w14:textId="77777777" w:rsidR="007A70C1" w:rsidRPr="001B5503" w:rsidRDefault="00C95D2B" w:rsidP="00C95D2B">
            <w:pPr>
              <w:pStyle w:val="Taula"/>
              <w:jc w:val="center"/>
              <w:rPr>
                <w:lang w:eastAsia="es-ES"/>
              </w:rPr>
            </w:pPr>
            <w:r w:rsidRPr="001B5503">
              <w:rPr>
                <w:lang w:eastAsia="es-ES"/>
              </w:rPr>
              <w:t>1</w:t>
            </w:r>
            <w:r w:rsidR="0013632C" w:rsidRPr="001B5503">
              <w:rPr>
                <w:lang w:eastAsia="es-ES"/>
              </w:rPr>
              <w:t>3</w:t>
            </w:r>
            <w:r w:rsidRPr="001B5503">
              <w:rPr>
                <w:lang w:eastAsia="es-ES"/>
              </w:rPr>
              <w:t>.</w:t>
            </w:r>
            <w:r w:rsidR="00442242" w:rsidRPr="001B5503">
              <w:rPr>
                <w:lang w:eastAsia="es-ES"/>
              </w:rPr>
              <w:t>1</w:t>
            </w:r>
          </w:p>
        </w:tc>
        <w:tc>
          <w:tcPr>
            <w:tcW w:w="850" w:type="dxa"/>
            <w:shd w:val="clear" w:color="auto" w:fill="auto"/>
            <w:noWrap/>
            <w:vAlign w:val="center"/>
            <w:hideMark/>
          </w:tcPr>
          <w:p w14:paraId="21F238F4" w14:textId="77777777" w:rsidR="007A70C1" w:rsidRPr="001B5503" w:rsidRDefault="007A70C1" w:rsidP="00C95D2B">
            <w:pPr>
              <w:pStyle w:val="Taula"/>
              <w:jc w:val="center"/>
              <w:rPr>
                <w:lang w:eastAsia="es-ES"/>
              </w:rPr>
            </w:pPr>
          </w:p>
        </w:tc>
      </w:tr>
      <w:tr w:rsidR="004A46D0" w:rsidRPr="001B5503" w14:paraId="367D34BC" w14:textId="77777777" w:rsidTr="00C52E6B">
        <w:trPr>
          <w:trHeight w:val="300"/>
        </w:trPr>
        <w:tc>
          <w:tcPr>
            <w:tcW w:w="1383" w:type="dxa"/>
            <w:vAlign w:val="center"/>
          </w:tcPr>
          <w:p w14:paraId="1402CE0B" w14:textId="77777777" w:rsidR="007A70C1" w:rsidRPr="001B5503" w:rsidRDefault="007A70C1" w:rsidP="004A46D0">
            <w:pPr>
              <w:pStyle w:val="Taula"/>
              <w:rPr>
                <w:lang w:eastAsia="es-ES"/>
              </w:rPr>
            </w:pPr>
            <w:r w:rsidRPr="001B5503">
              <w:rPr>
                <w:lang w:eastAsia="es-ES"/>
              </w:rPr>
              <w:t>FAI</w:t>
            </w:r>
          </w:p>
        </w:tc>
        <w:tc>
          <w:tcPr>
            <w:tcW w:w="850" w:type="dxa"/>
            <w:shd w:val="clear" w:color="auto" w:fill="auto"/>
            <w:noWrap/>
            <w:vAlign w:val="center"/>
          </w:tcPr>
          <w:p w14:paraId="4AA74487" w14:textId="77777777" w:rsidR="007A70C1" w:rsidRPr="001B5503" w:rsidRDefault="00442242" w:rsidP="00C95D2B">
            <w:pPr>
              <w:pStyle w:val="Taula"/>
              <w:jc w:val="center"/>
              <w:rPr>
                <w:lang w:eastAsia="es-ES"/>
              </w:rPr>
            </w:pPr>
            <w:r w:rsidRPr="001B5503">
              <w:rPr>
                <w:lang w:eastAsia="es-ES"/>
              </w:rPr>
              <w:t>48</w:t>
            </w:r>
            <w:r w:rsidR="00C95D2B" w:rsidRPr="001B5503">
              <w:rPr>
                <w:lang w:eastAsia="es-ES"/>
              </w:rPr>
              <w:t>.</w:t>
            </w:r>
            <w:r w:rsidRPr="001B5503">
              <w:rPr>
                <w:lang w:eastAsia="es-ES"/>
              </w:rPr>
              <w:t>1</w:t>
            </w:r>
          </w:p>
        </w:tc>
        <w:tc>
          <w:tcPr>
            <w:tcW w:w="850" w:type="dxa"/>
            <w:shd w:val="clear" w:color="auto" w:fill="auto"/>
            <w:noWrap/>
            <w:vAlign w:val="center"/>
          </w:tcPr>
          <w:p w14:paraId="0DFCC24B" w14:textId="77777777" w:rsidR="007A70C1" w:rsidRPr="001B5503" w:rsidRDefault="00C95D2B" w:rsidP="00C95D2B">
            <w:pPr>
              <w:pStyle w:val="Taula"/>
              <w:jc w:val="center"/>
              <w:rPr>
                <w:lang w:eastAsia="es-ES"/>
              </w:rPr>
            </w:pPr>
            <w:r w:rsidRPr="001B5503">
              <w:rPr>
                <w:lang w:eastAsia="es-ES"/>
              </w:rPr>
              <w:t>4</w:t>
            </w:r>
            <w:r w:rsidR="00442242" w:rsidRPr="001B5503">
              <w:rPr>
                <w:lang w:eastAsia="es-ES"/>
              </w:rPr>
              <w:t>5</w:t>
            </w:r>
            <w:r w:rsidRPr="001B5503">
              <w:rPr>
                <w:lang w:eastAsia="es-ES"/>
              </w:rPr>
              <w:t>.</w:t>
            </w:r>
            <w:r w:rsidR="00442242" w:rsidRPr="001B5503">
              <w:rPr>
                <w:lang w:eastAsia="es-ES"/>
              </w:rPr>
              <w:t>7</w:t>
            </w:r>
          </w:p>
        </w:tc>
        <w:tc>
          <w:tcPr>
            <w:tcW w:w="850" w:type="dxa"/>
            <w:shd w:val="clear" w:color="auto" w:fill="auto"/>
            <w:noWrap/>
            <w:vAlign w:val="center"/>
          </w:tcPr>
          <w:p w14:paraId="34B66328" w14:textId="77777777" w:rsidR="007A70C1" w:rsidRPr="001B5503" w:rsidRDefault="00C95D2B" w:rsidP="00C95D2B">
            <w:pPr>
              <w:pStyle w:val="Taula"/>
              <w:jc w:val="center"/>
              <w:rPr>
                <w:lang w:eastAsia="es-ES"/>
              </w:rPr>
            </w:pPr>
            <w:r w:rsidRPr="001B5503">
              <w:rPr>
                <w:lang w:eastAsia="es-ES"/>
              </w:rPr>
              <w:t>4</w:t>
            </w:r>
            <w:r w:rsidR="00442242" w:rsidRPr="001B5503">
              <w:rPr>
                <w:lang w:eastAsia="es-ES"/>
              </w:rPr>
              <w:t>3</w:t>
            </w:r>
            <w:r w:rsidRPr="001B5503">
              <w:rPr>
                <w:lang w:eastAsia="es-ES"/>
              </w:rPr>
              <w:t>.</w:t>
            </w:r>
            <w:r w:rsidR="00442242" w:rsidRPr="001B5503">
              <w:rPr>
                <w:lang w:eastAsia="es-ES"/>
              </w:rPr>
              <w:t>3</w:t>
            </w:r>
          </w:p>
        </w:tc>
        <w:tc>
          <w:tcPr>
            <w:tcW w:w="850" w:type="dxa"/>
            <w:shd w:val="clear" w:color="auto" w:fill="auto"/>
            <w:noWrap/>
            <w:vAlign w:val="center"/>
          </w:tcPr>
          <w:p w14:paraId="5406B9F1" w14:textId="77777777" w:rsidR="007A70C1" w:rsidRPr="001B5503" w:rsidRDefault="00C95D2B" w:rsidP="00C95D2B">
            <w:pPr>
              <w:pStyle w:val="Taula"/>
              <w:jc w:val="center"/>
              <w:rPr>
                <w:lang w:eastAsia="es-ES"/>
              </w:rPr>
            </w:pPr>
            <w:r w:rsidRPr="001B5503">
              <w:rPr>
                <w:lang w:eastAsia="es-ES"/>
              </w:rPr>
              <w:t>4</w:t>
            </w:r>
            <w:r w:rsidR="00442242" w:rsidRPr="001B5503">
              <w:rPr>
                <w:lang w:eastAsia="es-ES"/>
              </w:rPr>
              <w:t>0</w:t>
            </w:r>
            <w:r w:rsidRPr="001B5503">
              <w:rPr>
                <w:lang w:eastAsia="es-ES"/>
              </w:rPr>
              <w:t>.</w:t>
            </w:r>
            <w:r w:rsidR="00442242" w:rsidRPr="001B5503">
              <w:rPr>
                <w:lang w:eastAsia="es-ES"/>
              </w:rPr>
              <w:t>9</w:t>
            </w:r>
          </w:p>
        </w:tc>
        <w:tc>
          <w:tcPr>
            <w:tcW w:w="850" w:type="dxa"/>
            <w:shd w:val="clear" w:color="auto" w:fill="auto"/>
            <w:noWrap/>
            <w:vAlign w:val="center"/>
            <w:hideMark/>
          </w:tcPr>
          <w:p w14:paraId="2118262C" w14:textId="77777777" w:rsidR="007A70C1" w:rsidRPr="001B5503" w:rsidRDefault="007A70C1" w:rsidP="00C95D2B">
            <w:pPr>
              <w:pStyle w:val="Taula"/>
              <w:jc w:val="center"/>
              <w:rPr>
                <w:lang w:eastAsia="es-ES"/>
              </w:rPr>
            </w:pPr>
          </w:p>
        </w:tc>
      </w:tr>
      <w:tr w:rsidR="004A46D0" w:rsidRPr="001B5503" w14:paraId="4EF96577" w14:textId="77777777" w:rsidTr="00C52E6B">
        <w:trPr>
          <w:trHeight w:val="300"/>
        </w:trPr>
        <w:tc>
          <w:tcPr>
            <w:tcW w:w="1383" w:type="dxa"/>
            <w:vAlign w:val="center"/>
          </w:tcPr>
          <w:p w14:paraId="7C5CE676" w14:textId="77777777" w:rsidR="007A70C1" w:rsidRPr="001B5503" w:rsidRDefault="007A70C1" w:rsidP="004A46D0">
            <w:pPr>
              <w:pStyle w:val="Taula"/>
              <w:rPr>
                <w:lang w:eastAsia="es-ES"/>
              </w:rPr>
            </w:pPr>
            <w:r w:rsidRPr="001B5503">
              <w:rPr>
                <w:lang w:eastAsia="es-ES"/>
              </w:rPr>
              <w:t>MABr</w:t>
            </w:r>
          </w:p>
        </w:tc>
        <w:tc>
          <w:tcPr>
            <w:tcW w:w="850" w:type="dxa"/>
            <w:shd w:val="clear" w:color="auto" w:fill="auto"/>
            <w:noWrap/>
            <w:vAlign w:val="center"/>
          </w:tcPr>
          <w:p w14:paraId="130238BA" w14:textId="77777777" w:rsidR="007A70C1" w:rsidRPr="001B5503" w:rsidRDefault="00635E70" w:rsidP="00C95D2B">
            <w:pPr>
              <w:pStyle w:val="Taula"/>
              <w:jc w:val="center"/>
              <w:rPr>
                <w:lang w:eastAsia="es-ES"/>
              </w:rPr>
            </w:pPr>
            <w:r w:rsidRPr="001B5503">
              <w:rPr>
                <w:lang w:eastAsia="es-ES"/>
              </w:rPr>
              <w:t>6.</w:t>
            </w:r>
            <w:r w:rsidR="00442242" w:rsidRPr="001B5503">
              <w:rPr>
                <w:lang w:eastAsia="es-ES"/>
              </w:rPr>
              <w:t>42</w:t>
            </w:r>
          </w:p>
        </w:tc>
        <w:tc>
          <w:tcPr>
            <w:tcW w:w="850" w:type="dxa"/>
            <w:shd w:val="clear" w:color="auto" w:fill="auto"/>
            <w:noWrap/>
            <w:vAlign w:val="center"/>
          </w:tcPr>
          <w:p w14:paraId="5746F4C9" w14:textId="77777777" w:rsidR="007A70C1" w:rsidRPr="001B5503" w:rsidRDefault="0013632C" w:rsidP="00C95D2B">
            <w:pPr>
              <w:pStyle w:val="Taula"/>
              <w:jc w:val="center"/>
              <w:rPr>
                <w:lang w:eastAsia="es-ES"/>
              </w:rPr>
            </w:pPr>
            <w:r w:rsidRPr="001B5503">
              <w:rPr>
                <w:lang w:eastAsia="es-ES"/>
              </w:rPr>
              <w:t>6.</w:t>
            </w:r>
            <w:r w:rsidR="00442242" w:rsidRPr="001B5503">
              <w:rPr>
                <w:lang w:eastAsia="es-ES"/>
              </w:rPr>
              <w:t>09</w:t>
            </w:r>
          </w:p>
        </w:tc>
        <w:tc>
          <w:tcPr>
            <w:tcW w:w="850" w:type="dxa"/>
            <w:shd w:val="clear" w:color="auto" w:fill="auto"/>
            <w:noWrap/>
            <w:vAlign w:val="center"/>
          </w:tcPr>
          <w:p w14:paraId="5829AC38" w14:textId="77777777" w:rsidR="007A70C1" w:rsidRPr="001B5503" w:rsidRDefault="00442242" w:rsidP="00C95D2B">
            <w:pPr>
              <w:pStyle w:val="Taula"/>
              <w:jc w:val="center"/>
              <w:rPr>
                <w:lang w:eastAsia="es-ES"/>
              </w:rPr>
            </w:pPr>
            <w:r w:rsidRPr="001B5503">
              <w:rPr>
                <w:lang w:eastAsia="es-ES"/>
              </w:rPr>
              <w:t>5</w:t>
            </w:r>
            <w:r w:rsidR="0013632C" w:rsidRPr="001B5503">
              <w:rPr>
                <w:lang w:eastAsia="es-ES"/>
              </w:rPr>
              <w:t>.</w:t>
            </w:r>
            <w:r w:rsidRPr="001B5503">
              <w:rPr>
                <w:lang w:eastAsia="es-ES"/>
              </w:rPr>
              <w:t>77</w:t>
            </w:r>
          </w:p>
        </w:tc>
        <w:tc>
          <w:tcPr>
            <w:tcW w:w="850" w:type="dxa"/>
            <w:shd w:val="clear" w:color="auto" w:fill="auto"/>
            <w:noWrap/>
            <w:vAlign w:val="center"/>
          </w:tcPr>
          <w:p w14:paraId="51C0BB15" w14:textId="77777777" w:rsidR="007A70C1" w:rsidRPr="001B5503" w:rsidRDefault="0013632C" w:rsidP="00C95D2B">
            <w:pPr>
              <w:pStyle w:val="Taula"/>
              <w:jc w:val="center"/>
              <w:rPr>
                <w:lang w:eastAsia="es-ES"/>
              </w:rPr>
            </w:pPr>
            <w:r w:rsidRPr="001B5503">
              <w:rPr>
                <w:lang w:eastAsia="es-ES"/>
              </w:rPr>
              <w:t>5.</w:t>
            </w:r>
            <w:r w:rsidR="00442242" w:rsidRPr="001B5503">
              <w:rPr>
                <w:lang w:eastAsia="es-ES"/>
              </w:rPr>
              <w:t>45</w:t>
            </w:r>
          </w:p>
        </w:tc>
        <w:tc>
          <w:tcPr>
            <w:tcW w:w="850" w:type="dxa"/>
            <w:shd w:val="clear" w:color="auto" w:fill="auto"/>
            <w:noWrap/>
            <w:vAlign w:val="center"/>
          </w:tcPr>
          <w:p w14:paraId="69D5ED31" w14:textId="77777777" w:rsidR="007A70C1" w:rsidRPr="001B5503" w:rsidRDefault="007A70C1" w:rsidP="00C95D2B">
            <w:pPr>
              <w:pStyle w:val="Taula"/>
              <w:jc w:val="center"/>
              <w:rPr>
                <w:lang w:eastAsia="es-ES"/>
              </w:rPr>
            </w:pPr>
          </w:p>
        </w:tc>
      </w:tr>
      <w:tr w:rsidR="004A46D0" w:rsidRPr="001B5503" w14:paraId="4536C5A0" w14:textId="77777777" w:rsidTr="00C52E6B">
        <w:trPr>
          <w:trHeight w:val="300"/>
        </w:trPr>
        <w:tc>
          <w:tcPr>
            <w:tcW w:w="1383" w:type="dxa"/>
            <w:vAlign w:val="center"/>
          </w:tcPr>
          <w:p w14:paraId="50B658F3" w14:textId="77777777" w:rsidR="00E44192" w:rsidRPr="001B5503" w:rsidRDefault="00E44192" w:rsidP="004A46D0">
            <w:pPr>
              <w:pStyle w:val="Taula"/>
              <w:rPr>
                <w:lang w:eastAsia="es-ES"/>
              </w:rPr>
            </w:pPr>
            <w:r w:rsidRPr="001B5503">
              <w:rPr>
                <w:lang w:eastAsia="es-ES"/>
              </w:rPr>
              <w:t>MAI</w:t>
            </w:r>
          </w:p>
        </w:tc>
        <w:tc>
          <w:tcPr>
            <w:tcW w:w="850" w:type="dxa"/>
            <w:shd w:val="clear" w:color="auto" w:fill="auto"/>
            <w:noWrap/>
            <w:vAlign w:val="center"/>
          </w:tcPr>
          <w:p w14:paraId="7E7F507E" w14:textId="77777777" w:rsidR="00E44192" w:rsidRPr="001B5503" w:rsidRDefault="00E44192" w:rsidP="00C95D2B">
            <w:pPr>
              <w:pStyle w:val="Taula"/>
              <w:jc w:val="center"/>
              <w:rPr>
                <w:lang w:eastAsia="es-ES"/>
              </w:rPr>
            </w:pPr>
          </w:p>
        </w:tc>
        <w:tc>
          <w:tcPr>
            <w:tcW w:w="850" w:type="dxa"/>
            <w:shd w:val="clear" w:color="auto" w:fill="auto"/>
            <w:noWrap/>
            <w:vAlign w:val="center"/>
          </w:tcPr>
          <w:p w14:paraId="753FF964" w14:textId="77777777" w:rsidR="00E44192" w:rsidRPr="001B5503" w:rsidRDefault="00E44192" w:rsidP="00C95D2B">
            <w:pPr>
              <w:pStyle w:val="Taula"/>
              <w:jc w:val="center"/>
              <w:rPr>
                <w:lang w:eastAsia="es-ES"/>
              </w:rPr>
            </w:pPr>
          </w:p>
        </w:tc>
        <w:tc>
          <w:tcPr>
            <w:tcW w:w="850" w:type="dxa"/>
            <w:shd w:val="clear" w:color="auto" w:fill="auto"/>
            <w:noWrap/>
            <w:vAlign w:val="center"/>
          </w:tcPr>
          <w:p w14:paraId="324F68D7" w14:textId="77777777" w:rsidR="00E44192" w:rsidRPr="001B5503" w:rsidRDefault="00E44192" w:rsidP="00C95D2B">
            <w:pPr>
              <w:pStyle w:val="Taula"/>
              <w:jc w:val="center"/>
              <w:rPr>
                <w:lang w:eastAsia="es-ES"/>
              </w:rPr>
            </w:pPr>
          </w:p>
        </w:tc>
        <w:tc>
          <w:tcPr>
            <w:tcW w:w="850" w:type="dxa"/>
            <w:shd w:val="clear" w:color="auto" w:fill="auto"/>
            <w:noWrap/>
            <w:vAlign w:val="center"/>
          </w:tcPr>
          <w:p w14:paraId="2B75CF28" w14:textId="77777777" w:rsidR="00E44192" w:rsidRPr="001B5503" w:rsidRDefault="00E44192" w:rsidP="00C95D2B">
            <w:pPr>
              <w:pStyle w:val="Taula"/>
              <w:jc w:val="center"/>
              <w:rPr>
                <w:lang w:eastAsia="es-ES"/>
              </w:rPr>
            </w:pPr>
          </w:p>
        </w:tc>
        <w:tc>
          <w:tcPr>
            <w:tcW w:w="850" w:type="dxa"/>
            <w:shd w:val="clear" w:color="auto" w:fill="auto"/>
            <w:noWrap/>
            <w:vAlign w:val="center"/>
          </w:tcPr>
          <w:p w14:paraId="6198FD35" w14:textId="77777777" w:rsidR="00E44192" w:rsidRPr="001B5503" w:rsidRDefault="00383EFD" w:rsidP="00C95D2B">
            <w:pPr>
              <w:pStyle w:val="Taula"/>
              <w:jc w:val="center"/>
              <w:rPr>
                <w:lang w:eastAsia="es-ES"/>
              </w:rPr>
            </w:pPr>
            <w:r w:rsidRPr="001B5503">
              <w:rPr>
                <w:lang w:eastAsia="es-ES"/>
              </w:rPr>
              <w:t>52</w:t>
            </w:r>
            <w:r w:rsidR="00C95D2B" w:rsidRPr="001B5503">
              <w:rPr>
                <w:lang w:eastAsia="es-ES"/>
              </w:rPr>
              <w:t>.</w:t>
            </w:r>
            <w:r w:rsidRPr="001B5503">
              <w:rPr>
                <w:lang w:eastAsia="es-ES"/>
              </w:rPr>
              <w:t>4</w:t>
            </w:r>
          </w:p>
        </w:tc>
      </w:tr>
      <w:tr w:rsidR="004A46D0" w:rsidRPr="001B5503" w14:paraId="6B0D9090" w14:textId="77777777" w:rsidTr="00C52E6B">
        <w:trPr>
          <w:trHeight w:val="300"/>
        </w:trPr>
        <w:tc>
          <w:tcPr>
            <w:tcW w:w="1383" w:type="dxa"/>
            <w:vAlign w:val="center"/>
          </w:tcPr>
          <w:p w14:paraId="61487020" w14:textId="77777777" w:rsidR="007A70C1" w:rsidRPr="001B5503" w:rsidRDefault="007A70C1" w:rsidP="004A46D0">
            <w:pPr>
              <w:pStyle w:val="Taula"/>
              <w:rPr>
                <w:lang w:eastAsia="es-ES"/>
              </w:rPr>
            </w:pPr>
            <w:r w:rsidRPr="001B5503">
              <w:rPr>
                <w:lang w:eastAsia="es-ES"/>
              </w:rPr>
              <w:t>PbI</w:t>
            </w:r>
            <w:r w:rsidRPr="001B5503">
              <w:rPr>
                <w:vertAlign w:val="subscript"/>
                <w:lang w:eastAsia="es-ES"/>
              </w:rPr>
              <w:t>2</w:t>
            </w:r>
          </w:p>
        </w:tc>
        <w:tc>
          <w:tcPr>
            <w:tcW w:w="850" w:type="dxa"/>
            <w:shd w:val="clear" w:color="auto" w:fill="auto"/>
            <w:noWrap/>
            <w:vAlign w:val="center"/>
          </w:tcPr>
          <w:p w14:paraId="33027622" w14:textId="77777777" w:rsidR="007A70C1" w:rsidRPr="001B5503" w:rsidRDefault="00C95D2B" w:rsidP="00C95D2B">
            <w:pPr>
              <w:pStyle w:val="Taula"/>
              <w:jc w:val="center"/>
              <w:rPr>
                <w:lang w:eastAsia="es-ES"/>
              </w:rPr>
            </w:pPr>
            <w:r w:rsidRPr="001B5503">
              <w:rPr>
                <w:lang w:eastAsia="es-ES"/>
              </w:rPr>
              <w:t>1</w:t>
            </w:r>
            <w:r w:rsidR="00442242" w:rsidRPr="001B5503">
              <w:rPr>
                <w:lang w:eastAsia="es-ES"/>
              </w:rPr>
              <w:t>29</w:t>
            </w:r>
          </w:p>
        </w:tc>
        <w:tc>
          <w:tcPr>
            <w:tcW w:w="850" w:type="dxa"/>
            <w:shd w:val="clear" w:color="auto" w:fill="auto"/>
            <w:noWrap/>
            <w:vAlign w:val="center"/>
          </w:tcPr>
          <w:p w14:paraId="007ACF85" w14:textId="77777777" w:rsidR="007A70C1" w:rsidRPr="001B5503" w:rsidRDefault="00C95D2B" w:rsidP="00C95D2B">
            <w:pPr>
              <w:pStyle w:val="Taula"/>
              <w:jc w:val="center"/>
              <w:rPr>
                <w:lang w:eastAsia="es-ES"/>
              </w:rPr>
            </w:pPr>
            <w:r w:rsidRPr="001B5503">
              <w:rPr>
                <w:lang w:eastAsia="es-ES"/>
              </w:rPr>
              <w:t>1</w:t>
            </w:r>
            <w:r w:rsidR="00442242" w:rsidRPr="001B5503">
              <w:rPr>
                <w:lang w:eastAsia="es-ES"/>
              </w:rPr>
              <w:t>28</w:t>
            </w:r>
          </w:p>
        </w:tc>
        <w:tc>
          <w:tcPr>
            <w:tcW w:w="850" w:type="dxa"/>
            <w:shd w:val="clear" w:color="auto" w:fill="auto"/>
            <w:noWrap/>
            <w:vAlign w:val="center"/>
          </w:tcPr>
          <w:p w14:paraId="0277DAA4" w14:textId="77777777" w:rsidR="007A70C1" w:rsidRPr="001B5503" w:rsidRDefault="0013632C" w:rsidP="00C95D2B">
            <w:pPr>
              <w:pStyle w:val="Taula"/>
              <w:jc w:val="center"/>
              <w:rPr>
                <w:lang w:eastAsia="es-ES"/>
              </w:rPr>
            </w:pPr>
            <w:r w:rsidRPr="001B5503">
              <w:rPr>
                <w:lang w:eastAsia="es-ES"/>
              </w:rPr>
              <w:t>1</w:t>
            </w:r>
            <w:r w:rsidR="00442242" w:rsidRPr="001B5503">
              <w:rPr>
                <w:lang w:eastAsia="es-ES"/>
              </w:rPr>
              <w:t>28</w:t>
            </w:r>
          </w:p>
        </w:tc>
        <w:tc>
          <w:tcPr>
            <w:tcW w:w="850" w:type="dxa"/>
            <w:shd w:val="clear" w:color="auto" w:fill="auto"/>
            <w:noWrap/>
            <w:vAlign w:val="center"/>
          </w:tcPr>
          <w:p w14:paraId="4B0B7755" w14:textId="77777777" w:rsidR="007A70C1" w:rsidRPr="001B5503" w:rsidRDefault="00C95D2B" w:rsidP="00C95D2B">
            <w:pPr>
              <w:pStyle w:val="Taula"/>
              <w:jc w:val="center"/>
              <w:rPr>
                <w:lang w:eastAsia="es-ES"/>
              </w:rPr>
            </w:pPr>
            <w:r w:rsidRPr="001B5503">
              <w:rPr>
                <w:lang w:eastAsia="es-ES"/>
              </w:rPr>
              <w:t>1</w:t>
            </w:r>
            <w:r w:rsidR="00442242" w:rsidRPr="001B5503">
              <w:rPr>
                <w:lang w:eastAsia="es-ES"/>
              </w:rPr>
              <w:t>27</w:t>
            </w:r>
          </w:p>
        </w:tc>
        <w:tc>
          <w:tcPr>
            <w:tcW w:w="850" w:type="dxa"/>
            <w:shd w:val="clear" w:color="auto" w:fill="auto"/>
            <w:noWrap/>
            <w:vAlign w:val="center"/>
            <w:hideMark/>
          </w:tcPr>
          <w:p w14:paraId="11EDCE3C" w14:textId="77777777" w:rsidR="007A70C1" w:rsidRPr="001B5503" w:rsidRDefault="00383EFD" w:rsidP="00C95D2B">
            <w:pPr>
              <w:pStyle w:val="Taula"/>
              <w:jc w:val="center"/>
              <w:rPr>
                <w:lang w:eastAsia="es-ES"/>
              </w:rPr>
            </w:pPr>
            <w:r w:rsidRPr="001B5503">
              <w:rPr>
                <w:lang w:eastAsia="es-ES"/>
              </w:rPr>
              <w:t>152</w:t>
            </w:r>
          </w:p>
        </w:tc>
      </w:tr>
      <w:tr w:rsidR="004A46D0" w:rsidRPr="001B5503" w14:paraId="08B356AE" w14:textId="77777777" w:rsidTr="00C52E6B">
        <w:trPr>
          <w:trHeight w:val="300"/>
        </w:trPr>
        <w:tc>
          <w:tcPr>
            <w:tcW w:w="1383" w:type="dxa"/>
            <w:vAlign w:val="center"/>
          </w:tcPr>
          <w:p w14:paraId="026FCA12" w14:textId="77777777" w:rsidR="007A70C1" w:rsidRPr="001B5503" w:rsidRDefault="007A70C1" w:rsidP="004A46D0">
            <w:pPr>
              <w:pStyle w:val="Taula"/>
              <w:rPr>
                <w:lang w:eastAsia="es-ES"/>
              </w:rPr>
            </w:pPr>
            <w:r w:rsidRPr="001B5503">
              <w:rPr>
                <w:lang w:eastAsia="es-ES"/>
              </w:rPr>
              <w:t>PbBr</w:t>
            </w:r>
            <w:r w:rsidRPr="001B5503">
              <w:rPr>
                <w:vertAlign w:val="subscript"/>
                <w:lang w:eastAsia="es-ES"/>
              </w:rPr>
              <w:t>2</w:t>
            </w:r>
          </w:p>
        </w:tc>
        <w:tc>
          <w:tcPr>
            <w:tcW w:w="850" w:type="dxa"/>
            <w:shd w:val="clear" w:color="auto" w:fill="auto"/>
            <w:noWrap/>
            <w:vAlign w:val="center"/>
          </w:tcPr>
          <w:p w14:paraId="15A7BB6E" w14:textId="77777777" w:rsidR="007A70C1" w:rsidRPr="001B5503" w:rsidRDefault="00C95D2B" w:rsidP="00C95D2B">
            <w:pPr>
              <w:pStyle w:val="Taula"/>
              <w:jc w:val="center"/>
              <w:rPr>
                <w:lang w:eastAsia="es-ES"/>
              </w:rPr>
            </w:pPr>
            <w:r w:rsidRPr="001B5503">
              <w:rPr>
                <w:lang w:eastAsia="es-ES"/>
              </w:rPr>
              <w:t>2</w:t>
            </w:r>
            <w:r w:rsidR="00635E70" w:rsidRPr="001B5503">
              <w:rPr>
                <w:lang w:eastAsia="es-ES"/>
              </w:rPr>
              <w:t>1</w:t>
            </w:r>
            <w:r w:rsidRPr="001B5503">
              <w:rPr>
                <w:lang w:eastAsia="es-ES"/>
              </w:rPr>
              <w:t>.</w:t>
            </w:r>
            <w:r w:rsidR="00442242" w:rsidRPr="001B5503">
              <w:rPr>
                <w:lang w:eastAsia="es-ES"/>
              </w:rPr>
              <w:t>0</w:t>
            </w:r>
          </w:p>
        </w:tc>
        <w:tc>
          <w:tcPr>
            <w:tcW w:w="850" w:type="dxa"/>
            <w:shd w:val="clear" w:color="auto" w:fill="auto"/>
            <w:noWrap/>
            <w:vAlign w:val="center"/>
          </w:tcPr>
          <w:p w14:paraId="5ECE28DA" w14:textId="77777777" w:rsidR="007A70C1" w:rsidRPr="001B5503" w:rsidRDefault="00C95D2B" w:rsidP="00C95D2B">
            <w:pPr>
              <w:pStyle w:val="Taula"/>
              <w:jc w:val="center"/>
              <w:rPr>
                <w:lang w:eastAsia="es-ES"/>
              </w:rPr>
            </w:pPr>
            <w:r w:rsidRPr="001B5503">
              <w:rPr>
                <w:lang w:eastAsia="es-ES"/>
              </w:rPr>
              <w:t>2</w:t>
            </w:r>
            <w:r w:rsidR="00442242" w:rsidRPr="001B5503">
              <w:rPr>
                <w:lang w:eastAsia="es-ES"/>
              </w:rPr>
              <w:t>1</w:t>
            </w:r>
            <w:r w:rsidRPr="001B5503">
              <w:rPr>
                <w:lang w:eastAsia="es-ES"/>
              </w:rPr>
              <w:t>.</w:t>
            </w:r>
            <w:r w:rsidR="00442242" w:rsidRPr="001B5503">
              <w:rPr>
                <w:lang w:eastAsia="es-ES"/>
              </w:rPr>
              <w:t>6</w:t>
            </w:r>
          </w:p>
        </w:tc>
        <w:tc>
          <w:tcPr>
            <w:tcW w:w="850" w:type="dxa"/>
            <w:shd w:val="clear" w:color="auto" w:fill="auto"/>
            <w:noWrap/>
            <w:vAlign w:val="center"/>
          </w:tcPr>
          <w:p w14:paraId="26022563" w14:textId="77777777" w:rsidR="007A70C1" w:rsidRPr="001B5503" w:rsidRDefault="0013632C" w:rsidP="00C95D2B">
            <w:pPr>
              <w:pStyle w:val="Taula"/>
              <w:jc w:val="center"/>
              <w:rPr>
                <w:lang w:eastAsia="es-ES"/>
              </w:rPr>
            </w:pPr>
            <w:r w:rsidRPr="001B5503">
              <w:rPr>
                <w:lang w:eastAsia="es-ES"/>
              </w:rPr>
              <w:t>2</w:t>
            </w:r>
            <w:r w:rsidR="00442242" w:rsidRPr="001B5503">
              <w:rPr>
                <w:lang w:eastAsia="es-ES"/>
              </w:rPr>
              <w:t>2</w:t>
            </w:r>
            <w:r w:rsidR="00C95D2B" w:rsidRPr="001B5503">
              <w:rPr>
                <w:lang w:eastAsia="es-ES"/>
              </w:rPr>
              <w:t>.</w:t>
            </w:r>
            <w:r w:rsidR="00442242" w:rsidRPr="001B5503">
              <w:rPr>
                <w:lang w:eastAsia="es-ES"/>
              </w:rPr>
              <w:t>1</w:t>
            </w:r>
          </w:p>
        </w:tc>
        <w:tc>
          <w:tcPr>
            <w:tcW w:w="850" w:type="dxa"/>
            <w:shd w:val="clear" w:color="auto" w:fill="auto"/>
            <w:noWrap/>
            <w:vAlign w:val="center"/>
          </w:tcPr>
          <w:p w14:paraId="3B6119E9" w14:textId="77777777" w:rsidR="007A70C1" w:rsidRPr="001B5503" w:rsidRDefault="00C95D2B" w:rsidP="00C95D2B">
            <w:pPr>
              <w:pStyle w:val="Taula"/>
              <w:jc w:val="center"/>
              <w:rPr>
                <w:lang w:eastAsia="es-ES"/>
              </w:rPr>
            </w:pPr>
            <w:r w:rsidRPr="001B5503">
              <w:rPr>
                <w:lang w:eastAsia="es-ES"/>
              </w:rPr>
              <w:t>2</w:t>
            </w:r>
            <w:r w:rsidR="00442242" w:rsidRPr="001B5503">
              <w:rPr>
                <w:lang w:eastAsia="es-ES"/>
              </w:rPr>
              <w:t>2</w:t>
            </w:r>
            <w:r w:rsidRPr="001B5503">
              <w:rPr>
                <w:lang w:eastAsia="es-ES"/>
              </w:rPr>
              <w:t>.</w:t>
            </w:r>
            <w:r w:rsidR="00442242" w:rsidRPr="001B5503">
              <w:rPr>
                <w:lang w:eastAsia="es-ES"/>
              </w:rPr>
              <w:t>6</w:t>
            </w:r>
          </w:p>
        </w:tc>
        <w:tc>
          <w:tcPr>
            <w:tcW w:w="850" w:type="dxa"/>
            <w:shd w:val="clear" w:color="auto" w:fill="auto"/>
            <w:noWrap/>
            <w:vAlign w:val="center"/>
          </w:tcPr>
          <w:p w14:paraId="172BDC69" w14:textId="77777777" w:rsidR="007A70C1" w:rsidRPr="001B5503" w:rsidRDefault="007A70C1" w:rsidP="00C95D2B">
            <w:pPr>
              <w:pStyle w:val="Taula"/>
              <w:jc w:val="center"/>
              <w:rPr>
                <w:lang w:eastAsia="es-ES"/>
              </w:rPr>
            </w:pPr>
          </w:p>
        </w:tc>
      </w:tr>
      <w:tr w:rsidR="004A46D0" w:rsidRPr="001B5503" w14:paraId="56622D86" w14:textId="77777777" w:rsidTr="00C52E6B">
        <w:trPr>
          <w:trHeight w:val="300"/>
        </w:trPr>
        <w:tc>
          <w:tcPr>
            <w:tcW w:w="1383" w:type="dxa"/>
            <w:vAlign w:val="center"/>
          </w:tcPr>
          <w:p w14:paraId="6310FCF8" w14:textId="77777777" w:rsidR="007A70C1" w:rsidRPr="001B5503" w:rsidRDefault="007A70C1" w:rsidP="004A46D0">
            <w:pPr>
              <w:pStyle w:val="Taula"/>
              <w:rPr>
                <w:lang w:eastAsia="es-ES"/>
              </w:rPr>
            </w:pPr>
            <w:r w:rsidRPr="001B5503">
              <w:rPr>
                <w:lang w:eastAsia="es-ES"/>
              </w:rPr>
              <w:t>DMF</w:t>
            </w:r>
          </w:p>
        </w:tc>
        <w:tc>
          <w:tcPr>
            <w:tcW w:w="850" w:type="dxa"/>
            <w:shd w:val="clear" w:color="auto" w:fill="auto"/>
            <w:noWrap/>
            <w:vAlign w:val="center"/>
          </w:tcPr>
          <w:p w14:paraId="1DC592EF" w14:textId="77777777" w:rsidR="007A70C1" w:rsidRPr="001B5503" w:rsidRDefault="00442242" w:rsidP="00C95D2B">
            <w:pPr>
              <w:pStyle w:val="Taula"/>
              <w:jc w:val="center"/>
              <w:rPr>
                <w:lang w:eastAsia="es-ES"/>
              </w:rPr>
            </w:pPr>
            <w:r w:rsidRPr="001B5503">
              <w:rPr>
                <w:lang w:eastAsia="es-ES"/>
              </w:rPr>
              <w:t>799</w:t>
            </w:r>
          </w:p>
        </w:tc>
        <w:tc>
          <w:tcPr>
            <w:tcW w:w="850" w:type="dxa"/>
            <w:shd w:val="clear" w:color="auto" w:fill="auto"/>
            <w:noWrap/>
            <w:vAlign w:val="center"/>
          </w:tcPr>
          <w:p w14:paraId="3FA29053" w14:textId="77777777" w:rsidR="007A70C1" w:rsidRPr="001B5503" w:rsidRDefault="00442242" w:rsidP="00C95D2B">
            <w:pPr>
              <w:pStyle w:val="Taula"/>
              <w:jc w:val="center"/>
              <w:rPr>
                <w:lang w:eastAsia="es-ES"/>
              </w:rPr>
            </w:pPr>
            <w:r w:rsidRPr="001B5503">
              <w:rPr>
                <w:lang w:eastAsia="es-ES"/>
              </w:rPr>
              <w:t>791</w:t>
            </w:r>
          </w:p>
        </w:tc>
        <w:tc>
          <w:tcPr>
            <w:tcW w:w="850" w:type="dxa"/>
            <w:shd w:val="clear" w:color="auto" w:fill="auto"/>
            <w:noWrap/>
            <w:vAlign w:val="center"/>
          </w:tcPr>
          <w:p w14:paraId="5A878E27" w14:textId="77777777" w:rsidR="007A70C1" w:rsidRPr="001B5503" w:rsidRDefault="00442242" w:rsidP="00C95D2B">
            <w:pPr>
              <w:pStyle w:val="Taula"/>
              <w:jc w:val="center"/>
              <w:rPr>
                <w:lang w:eastAsia="es-ES"/>
              </w:rPr>
            </w:pPr>
            <w:r w:rsidRPr="001B5503">
              <w:rPr>
                <w:lang w:eastAsia="es-ES"/>
              </w:rPr>
              <w:t>783</w:t>
            </w:r>
          </w:p>
        </w:tc>
        <w:tc>
          <w:tcPr>
            <w:tcW w:w="850" w:type="dxa"/>
            <w:shd w:val="clear" w:color="auto" w:fill="auto"/>
            <w:noWrap/>
            <w:vAlign w:val="center"/>
          </w:tcPr>
          <w:p w14:paraId="1D654B62" w14:textId="77777777" w:rsidR="007A70C1" w:rsidRPr="001B5503" w:rsidRDefault="00442242" w:rsidP="00C95D2B">
            <w:pPr>
              <w:pStyle w:val="Taula"/>
              <w:jc w:val="center"/>
              <w:rPr>
                <w:lang w:eastAsia="es-ES"/>
              </w:rPr>
            </w:pPr>
            <w:r w:rsidRPr="001B5503">
              <w:rPr>
                <w:lang w:eastAsia="es-ES"/>
              </w:rPr>
              <w:t>774</w:t>
            </w:r>
          </w:p>
        </w:tc>
        <w:tc>
          <w:tcPr>
            <w:tcW w:w="850" w:type="dxa"/>
            <w:shd w:val="clear" w:color="auto" w:fill="auto"/>
            <w:noWrap/>
            <w:vAlign w:val="center"/>
          </w:tcPr>
          <w:p w14:paraId="5209A094" w14:textId="77777777" w:rsidR="007A70C1" w:rsidRPr="001B5503" w:rsidRDefault="007A70C1" w:rsidP="00C95D2B">
            <w:pPr>
              <w:pStyle w:val="Taula"/>
              <w:jc w:val="center"/>
              <w:rPr>
                <w:lang w:eastAsia="es-ES"/>
              </w:rPr>
            </w:pPr>
          </w:p>
        </w:tc>
      </w:tr>
      <w:tr w:rsidR="004A46D0" w:rsidRPr="001B5503" w14:paraId="048F7EEC" w14:textId="77777777" w:rsidTr="00C52E6B">
        <w:trPr>
          <w:trHeight w:val="300"/>
        </w:trPr>
        <w:tc>
          <w:tcPr>
            <w:tcW w:w="1383" w:type="dxa"/>
            <w:vAlign w:val="center"/>
          </w:tcPr>
          <w:p w14:paraId="0F794CC4" w14:textId="77777777" w:rsidR="007A70C1" w:rsidRPr="001B5503" w:rsidRDefault="007A70C1" w:rsidP="004A46D0">
            <w:pPr>
              <w:pStyle w:val="Taula"/>
              <w:rPr>
                <w:lang w:eastAsia="es-ES"/>
              </w:rPr>
            </w:pPr>
            <w:r w:rsidRPr="001B5503">
              <w:rPr>
                <w:lang w:eastAsia="es-ES"/>
              </w:rPr>
              <w:t>DMSO</w:t>
            </w:r>
          </w:p>
        </w:tc>
        <w:tc>
          <w:tcPr>
            <w:tcW w:w="850" w:type="dxa"/>
            <w:shd w:val="clear" w:color="auto" w:fill="auto"/>
            <w:noWrap/>
            <w:vAlign w:val="center"/>
          </w:tcPr>
          <w:p w14:paraId="3B82C1F0" w14:textId="77777777" w:rsidR="007A70C1" w:rsidRPr="001B5503" w:rsidRDefault="00C95D2B" w:rsidP="00C95D2B">
            <w:pPr>
              <w:pStyle w:val="Taula"/>
              <w:jc w:val="center"/>
              <w:rPr>
                <w:lang w:eastAsia="es-ES"/>
              </w:rPr>
            </w:pPr>
            <w:r w:rsidRPr="001B5503">
              <w:rPr>
                <w:lang w:eastAsia="es-ES"/>
              </w:rPr>
              <w:t>2</w:t>
            </w:r>
            <w:r w:rsidR="00442242" w:rsidRPr="001B5503">
              <w:rPr>
                <w:lang w:eastAsia="es-ES"/>
              </w:rPr>
              <w:t>33</w:t>
            </w:r>
          </w:p>
        </w:tc>
        <w:tc>
          <w:tcPr>
            <w:tcW w:w="850" w:type="dxa"/>
            <w:shd w:val="clear" w:color="auto" w:fill="auto"/>
            <w:noWrap/>
            <w:vAlign w:val="center"/>
          </w:tcPr>
          <w:p w14:paraId="2256D9A6" w14:textId="77777777" w:rsidR="007A70C1" w:rsidRPr="001B5503" w:rsidRDefault="0013632C" w:rsidP="00C95D2B">
            <w:pPr>
              <w:pStyle w:val="Taula"/>
              <w:jc w:val="center"/>
              <w:rPr>
                <w:lang w:eastAsia="es-ES"/>
              </w:rPr>
            </w:pPr>
            <w:r w:rsidRPr="001B5503">
              <w:rPr>
                <w:lang w:eastAsia="es-ES"/>
              </w:rPr>
              <w:t>2</w:t>
            </w:r>
            <w:r w:rsidR="00442242" w:rsidRPr="001B5503">
              <w:rPr>
                <w:lang w:eastAsia="es-ES"/>
              </w:rPr>
              <w:t>30</w:t>
            </w:r>
          </w:p>
        </w:tc>
        <w:tc>
          <w:tcPr>
            <w:tcW w:w="850" w:type="dxa"/>
            <w:shd w:val="clear" w:color="auto" w:fill="auto"/>
            <w:noWrap/>
            <w:vAlign w:val="center"/>
          </w:tcPr>
          <w:p w14:paraId="78E87763" w14:textId="77777777" w:rsidR="007A70C1" w:rsidRPr="001B5503" w:rsidRDefault="0013632C" w:rsidP="00C95D2B">
            <w:pPr>
              <w:pStyle w:val="Taula"/>
              <w:jc w:val="center"/>
              <w:rPr>
                <w:lang w:eastAsia="es-ES"/>
              </w:rPr>
            </w:pPr>
            <w:r w:rsidRPr="001B5503">
              <w:rPr>
                <w:lang w:eastAsia="es-ES"/>
              </w:rPr>
              <w:t>2</w:t>
            </w:r>
            <w:r w:rsidR="00383EFD" w:rsidRPr="001B5503">
              <w:rPr>
                <w:lang w:eastAsia="es-ES"/>
              </w:rPr>
              <w:t>28</w:t>
            </w:r>
          </w:p>
        </w:tc>
        <w:tc>
          <w:tcPr>
            <w:tcW w:w="850" w:type="dxa"/>
            <w:shd w:val="clear" w:color="auto" w:fill="auto"/>
            <w:noWrap/>
            <w:vAlign w:val="center"/>
          </w:tcPr>
          <w:p w14:paraId="0939191D" w14:textId="77777777" w:rsidR="007A70C1" w:rsidRPr="001B5503" w:rsidRDefault="00C95D2B" w:rsidP="00C95D2B">
            <w:pPr>
              <w:pStyle w:val="Taula"/>
              <w:jc w:val="center"/>
              <w:rPr>
                <w:lang w:eastAsia="es-ES"/>
              </w:rPr>
            </w:pPr>
            <w:r w:rsidRPr="001B5503">
              <w:rPr>
                <w:lang w:eastAsia="es-ES"/>
              </w:rPr>
              <w:t>2</w:t>
            </w:r>
            <w:r w:rsidR="00383EFD" w:rsidRPr="001B5503">
              <w:rPr>
                <w:lang w:eastAsia="es-ES"/>
              </w:rPr>
              <w:t>26</w:t>
            </w:r>
          </w:p>
        </w:tc>
        <w:tc>
          <w:tcPr>
            <w:tcW w:w="850" w:type="dxa"/>
            <w:shd w:val="clear" w:color="auto" w:fill="auto"/>
            <w:noWrap/>
            <w:vAlign w:val="center"/>
          </w:tcPr>
          <w:p w14:paraId="6E8522A8" w14:textId="77777777" w:rsidR="007A70C1" w:rsidRPr="001B5503" w:rsidRDefault="007A70C1" w:rsidP="00C95D2B">
            <w:pPr>
              <w:pStyle w:val="Taula"/>
              <w:jc w:val="center"/>
              <w:rPr>
                <w:lang w:eastAsia="es-ES"/>
              </w:rPr>
            </w:pPr>
          </w:p>
        </w:tc>
      </w:tr>
      <w:tr w:rsidR="004A46D0" w:rsidRPr="001B5503" w14:paraId="5EAD78B9" w14:textId="77777777" w:rsidTr="00C52E6B">
        <w:trPr>
          <w:trHeight w:val="300"/>
        </w:trPr>
        <w:tc>
          <w:tcPr>
            <w:tcW w:w="1383" w:type="dxa"/>
            <w:vAlign w:val="center"/>
          </w:tcPr>
          <w:p w14:paraId="1004C8D4" w14:textId="77777777" w:rsidR="004A46D0" w:rsidRPr="001B5503" w:rsidRDefault="004A46D0" w:rsidP="004A46D0">
            <w:pPr>
              <w:pStyle w:val="Taula"/>
              <w:rPr>
                <w:lang w:eastAsia="es-ES"/>
              </w:rPr>
            </w:pPr>
            <w:r w:rsidRPr="001B5503">
              <w:rPr>
                <w:lang w:eastAsia="es-ES"/>
              </w:rPr>
              <w:t>CB</w:t>
            </w:r>
          </w:p>
        </w:tc>
        <w:tc>
          <w:tcPr>
            <w:tcW w:w="3400" w:type="dxa"/>
            <w:gridSpan w:val="4"/>
            <w:shd w:val="clear" w:color="auto" w:fill="auto"/>
            <w:noWrap/>
            <w:vAlign w:val="center"/>
          </w:tcPr>
          <w:p w14:paraId="22991D1F" w14:textId="77777777" w:rsidR="004A46D0" w:rsidRPr="001B5503" w:rsidRDefault="00C95D2B" w:rsidP="00C95D2B">
            <w:pPr>
              <w:pStyle w:val="Taula"/>
              <w:jc w:val="center"/>
              <w:rPr>
                <w:lang w:eastAsia="es-ES"/>
              </w:rPr>
            </w:pPr>
            <w:r w:rsidRPr="001B5503">
              <w:rPr>
                <w:lang w:eastAsia="es-ES"/>
              </w:rPr>
              <w:t>4</w:t>
            </w:r>
            <w:r w:rsidR="004A46D0" w:rsidRPr="001B5503">
              <w:rPr>
                <w:lang w:eastAsia="es-ES"/>
              </w:rPr>
              <w:t>44</w:t>
            </w:r>
            <w:r w:rsidRPr="001B5503">
              <w:rPr>
                <w:lang w:eastAsia="es-ES"/>
              </w:rPr>
              <w:t>0</w:t>
            </w:r>
          </w:p>
        </w:tc>
        <w:tc>
          <w:tcPr>
            <w:tcW w:w="850" w:type="dxa"/>
            <w:shd w:val="clear" w:color="auto" w:fill="auto"/>
            <w:vAlign w:val="center"/>
          </w:tcPr>
          <w:p w14:paraId="66FEF943" w14:textId="77777777" w:rsidR="004A46D0" w:rsidRPr="001B5503" w:rsidRDefault="004A46D0" w:rsidP="00C95D2B">
            <w:pPr>
              <w:pStyle w:val="Taula"/>
              <w:jc w:val="center"/>
              <w:rPr>
                <w:lang w:eastAsia="es-ES"/>
              </w:rPr>
            </w:pPr>
          </w:p>
        </w:tc>
      </w:tr>
      <w:tr w:rsidR="004A46D0" w:rsidRPr="001B5503" w14:paraId="05C16103" w14:textId="77777777" w:rsidTr="00C52E6B">
        <w:trPr>
          <w:trHeight w:val="300"/>
        </w:trPr>
        <w:tc>
          <w:tcPr>
            <w:tcW w:w="1383" w:type="dxa"/>
            <w:vAlign w:val="center"/>
          </w:tcPr>
          <w:p w14:paraId="3FFD34F0" w14:textId="77777777" w:rsidR="007A70C1" w:rsidRPr="001B5503" w:rsidRDefault="00467F9C" w:rsidP="004A46D0">
            <w:pPr>
              <w:pStyle w:val="Taula"/>
              <w:rPr>
                <w:lang w:eastAsia="es-ES"/>
              </w:rPr>
            </w:pPr>
            <w:r w:rsidRPr="001B5503">
              <w:rPr>
                <w:lang w:eastAsia="es-ES"/>
              </w:rPr>
              <w:t>GBL</w:t>
            </w:r>
          </w:p>
        </w:tc>
        <w:tc>
          <w:tcPr>
            <w:tcW w:w="850" w:type="dxa"/>
            <w:shd w:val="clear" w:color="auto" w:fill="auto"/>
            <w:noWrap/>
            <w:vAlign w:val="center"/>
          </w:tcPr>
          <w:p w14:paraId="6FE4ABF5" w14:textId="77777777" w:rsidR="007A70C1" w:rsidRPr="001B5503" w:rsidRDefault="007A70C1" w:rsidP="00C95D2B">
            <w:pPr>
              <w:pStyle w:val="Taula"/>
              <w:jc w:val="center"/>
              <w:rPr>
                <w:lang w:eastAsia="es-ES"/>
              </w:rPr>
            </w:pPr>
          </w:p>
        </w:tc>
        <w:tc>
          <w:tcPr>
            <w:tcW w:w="850" w:type="dxa"/>
            <w:shd w:val="clear" w:color="auto" w:fill="auto"/>
            <w:noWrap/>
            <w:vAlign w:val="center"/>
          </w:tcPr>
          <w:p w14:paraId="32A5CEDD" w14:textId="77777777" w:rsidR="007A70C1" w:rsidRPr="001B5503" w:rsidRDefault="007A70C1" w:rsidP="00C95D2B">
            <w:pPr>
              <w:pStyle w:val="Taula"/>
              <w:jc w:val="center"/>
              <w:rPr>
                <w:lang w:eastAsia="es-ES"/>
              </w:rPr>
            </w:pPr>
          </w:p>
        </w:tc>
        <w:tc>
          <w:tcPr>
            <w:tcW w:w="850" w:type="dxa"/>
            <w:shd w:val="clear" w:color="auto" w:fill="auto"/>
            <w:noWrap/>
            <w:vAlign w:val="center"/>
          </w:tcPr>
          <w:p w14:paraId="1DFDCDAD" w14:textId="77777777" w:rsidR="007A70C1" w:rsidRPr="001B5503" w:rsidRDefault="007A70C1" w:rsidP="00C95D2B">
            <w:pPr>
              <w:pStyle w:val="Taula"/>
              <w:jc w:val="center"/>
              <w:rPr>
                <w:lang w:eastAsia="es-ES"/>
              </w:rPr>
            </w:pPr>
          </w:p>
        </w:tc>
        <w:tc>
          <w:tcPr>
            <w:tcW w:w="850" w:type="dxa"/>
            <w:shd w:val="clear" w:color="auto" w:fill="auto"/>
            <w:noWrap/>
            <w:vAlign w:val="center"/>
          </w:tcPr>
          <w:p w14:paraId="2CC83413" w14:textId="77777777" w:rsidR="007A70C1" w:rsidRPr="001B5503" w:rsidRDefault="007A70C1" w:rsidP="00C95D2B">
            <w:pPr>
              <w:pStyle w:val="Taula"/>
              <w:jc w:val="center"/>
              <w:rPr>
                <w:lang w:eastAsia="es-ES"/>
              </w:rPr>
            </w:pPr>
          </w:p>
        </w:tc>
        <w:tc>
          <w:tcPr>
            <w:tcW w:w="850" w:type="dxa"/>
            <w:shd w:val="clear" w:color="auto" w:fill="auto"/>
            <w:noWrap/>
            <w:vAlign w:val="center"/>
          </w:tcPr>
          <w:p w14:paraId="178288A8" w14:textId="77777777" w:rsidR="007A70C1" w:rsidRPr="001B5503" w:rsidRDefault="00383EFD" w:rsidP="00C95D2B">
            <w:pPr>
              <w:pStyle w:val="Taula"/>
              <w:jc w:val="center"/>
              <w:rPr>
                <w:lang w:eastAsia="es-ES"/>
              </w:rPr>
            </w:pPr>
            <w:r w:rsidRPr="001B5503">
              <w:rPr>
                <w:lang w:eastAsia="es-ES"/>
              </w:rPr>
              <w:t>307</w:t>
            </w:r>
          </w:p>
        </w:tc>
      </w:tr>
    </w:tbl>
    <w:p w14:paraId="66B36A9B" w14:textId="77777777" w:rsidR="007A70C1" w:rsidRPr="001B5503" w:rsidRDefault="007A70C1" w:rsidP="004F3231">
      <w:pPr>
        <w:pStyle w:val="Taula"/>
      </w:pPr>
    </w:p>
    <w:p w14:paraId="0C0DB732" w14:textId="77777777" w:rsidR="00DF5D80" w:rsidRPr="001B5503" w:rsidRDefault="00902969" w:rsidP="0053100D">
      <w:r w:rsidRPr="001B5503">
        <w:t>T</w:t>
      </w:r>
      <w:r w:rsidR="00FC1C51" w:rsidRPr="001B5503">
        <w:t xml:space="preserve">he electric consumption of </w:t>
      </w:r>
      <w:r w:rsidR="00C95D2B" w:rsidRPr="001B5503">
        <w:t>multiple</w:t>
      </w:r>
      <w:r w:rsidR="000A2C9A" w:rsidRPr="001B5503">
        <w:t xml:space="preserve"> cation</w:t>
      </w:r>
      <w:r w:rsidR="00C95D2B" w:rsidRPr="001B5503">
        <w:t>/anion</w:t>
      </w:r>
      <w:r w:rsidR="000A2C9A" w:rsidRPr="001B5503">
        <w:t xml:space="preserve"> perovskite</w:t>
      </w:r>
      <w:r w:rsidR="00FC1C51" w:rsidRPr="001B5503">
        <w:t xml:space="preserve"> used in the steps detailed in </w:t>
      </w:r>
      <w:r w:rsidR="0099656C" w:rsidRPr="001B5503">
        <w:fldChar w:fldCharType="begin"/>
      </w:r>
      <w:r w:rsidR="00FC1C51" w:rsidRPr="001B5503">
        <w:instrText xml:space="preserve"> REF _Ref472963039 \h </w:instrText>
      </w:r>
      <w:r w:rsidR="0099656C" w:rsidRPr="001B5503">
        <w:fldChar w:fldCharType="separate"/>
      </w:r>
      <w:r w:rsidR="008C5B92" w:rsidRPr="001B5503">
        <w:t>Figure 1</w:t>
      </w:r>
      <w:r w:rsidR="0099656C" w:rsidRPr="001B5503">
        <w:fldChar w:fldCharType="end"/>
      </w:r>
      <w:r w:rsidR="00FC1C51" w:rsidRPr="001B5503">
        <w:t xml:space="preserve"> was experimentally determined.</w:t>
      </w:r>
      <w:r w:rsidR="003259DC">
        <w:t xml:space="preserve"> </w:t>
      </w:r>
      <w:r w:rsidR="00FC1C51" w:rsidRPr="001B5503">
        <w:t xml:space="preserve">The inventory of </w:t>
      </w:r>
      <w:r w:rsidR="00327567" w:rsidRPr="001B5503">
        <w:t xml:space="preserve">overall </w:t>
      </w:r>
      <w:r w:rsidR="00FC1C51" w:rsidRPr="001B5503">
        <w:t xml:space="preserve">electricity usage </w:t>
      </w:r>
      <w:r w:rsidR="00327567" w:rsidRPr="001B5503">
        <w:t xml:space="preserve">for </w:t>
      </w:r>
      <w:r w:rsidR="00696C91" w:rsidRPr="001B5503">
        <w:t>the two</w:t>
      </w:r>
      <w:r w:rsidR="003259DC">
        <w:t xml:space="preserve"> </w:t>
      </w:r>
      <w:r w:rsidR="00327567" w:rsidRPr="001B5503">
        <w:lastRenderedPageBreak/>
        <w:t xml:space="preserve">methods </w:t>
      </w:r>
      <w:r w:rsidR="00FC1C51" w:rsidRPr="001B5503">
        <w:t xml:space="preserve">is shown in </w:t>
      </w:r>
      <w:r w:rsidR="0099656C" w:rsidRPr="001B5503">
        <w:fldChar w:fldCharType="begin"/>
      </w:r>
      <w:r w:rsidR="00FC1C51" w:rsidRPr="001B5503">
        <w:instrText xml:space="preserve"> REF _Ref473055087 \h </w:instrText>
      </w:r>
      <w:r w:rsidR="0099656C" w:rsidRPr="001B5503">
        <w:fldChar w:fldCharType="separate"/>
      </w:r>
      <w:r w:rsidR="0075168A" w:rsidRPr="001B5503">
        <w:t xml:space="preserve">Table </w:t>
      </w:r>
      <w:r w:rsidR="0075168A">
        <w:rPr>
          <w:noProof/>
        </w:rPr>
        <w:t>3</w:t>
      </w:r>
      <w:r w:rsidR="0099656C" w:rsidRPr="001B5503">
        <w:fldChar w:fldCharType="end"/>
      </w:r>
      <w:r w:rsidR="00AB7361" w:rsidRPr="001B5503">
        <w:t xml:space="preserve">. </w:t>
      </w:r>
      <w:r w:rsidR="00696C91" w:rsidRPr="001B5503">
        <w:t xml:space="preserve">During mixture and annealing </w:t>
      </w:r>
      <w:r w:rsidR="00EC62CC" w:rsidRPr="001B5503">
        <w:t>steps</w:t>
      </w:r>
      <w:r w:rsidR="00696C91" w:rsidRPr="001B5503">
        <w:t xml:space="preserve"> 16 devices </w:t>
      </w:r>
      <w:r w:rsidR="00EC62CC" w:rsidRPr="001B5503">
        <w:t>processed simultaneously were assumed.</w:t>
      </w:r>
    </w:p>
    <w:p w14:paraId="0539A873" w14:textId="77777777" w:rsidR="00FC1C51" w:rsidRPr="001B5503" w:rsidRDefault="00FC1C51" w:rsidP="00363920">
      <w:pPr>
        <w:pStyle w:val="Descripcin"/>
      </w:pPr>
      <w:bookmarkStart w:id="7" w:name="_Ref473055087"/>
      <w:bookmarkStart w:id="8" w:name="_Ref474438198"/>
      <w:r w:rsidRPr="001B5503">
        <w:t xml:space="preserve">Table </w:t>
      </w:r>
      <w:r w:rsidR="0099656C" w:rsidRPr="001B5503">
        <w:fldChar w:fldCharType="begin"/>
      </w:r>
      <w:r w:rsidR="003336A3" w:rsidRPr="001B5503">
        <w:instrText xml:space="preserve"> SEQ Table \* ARABIC </w:instrText>
      </w:r>
      <w:r w:rsidR="0099656C" w:rsidRPr="001B5503">
        <w:fldChar w:fldCharType="separate"/>
      </w:r>
      <w:r w:rsidR="001750EF">
        <w:rPr>
          <w:noProof/>
        </w:rPr>
        <w:t>3</w:t>
      </w:r>
      <w:r w:rsidR="0099656C" w:rsidRPr="001B5503">
        <w:fldChar w:fldCharType="end"/>
      </w:r>
      <w:bookmarkEnd w:id="7"/>
      <w:r w:rsidR="00A55585" w:rsidRPr="001B5503">
        <w:t>.</w:t>
      </w:r>
      <w:r w:rsidR="0075168A">
        <w:t xml:space="preserve"> </w:t>
      </w:r>
      <w:r w:rsidRPr="001B5503">
        <w:rPr>
          <w:b w:val="0"/>
        </w:rPr>
        <w:t>Inventory of electric consumption of devices used for perovskite mixture and deposition</w:t>
      </w:r>
      <w:bookmarkEnd w:id="8"/>
      <w:r w:rsidR="00F4296A" w:rsidRPr="001B5503">
        <w:rPr>
          <w:b w:val="0"/>
        </w:rPr>
        <w:t>.</w:t>
      </w:r>
    </w:p>
    <w:tbl>
      <w:tblPr>
        <w:tblStyle w:val="Tablaconcuadrcula"/>
        <w:tblW w:w="0" w:type="auto"/>
        <w:tblLook w:val="04A0" w:firstRow="1" w:lastRow="0" w:firstColumn="1" w:lastColumn="0" w:noHBand="0" w:noVBand="1"/>
      </w:tblPr>
      <w:tblGrid>
        <w:gridCol w:w="2835"/>
        <w:gridCol w:w="1474"/>
        <w:gridCol w:w="1474"/>
      </w:tblGrid>
      <w:tr w:rsidR="006F1643" w:rsidRPr="001B5503" w14:paraId="6C311FEC" w14:textId="77777777" w:rsidTr="005E0960">
        <w:tc>
          <w:tcPr>
            <w:tcW w:w="2835" w:type="dxa"/>
          </w:tcPr>
          <w:p w14:paraId="0FFFE87F" w14:textId="77777777" w:rsidR="006F1643" w:rsidRPr="001B5503" w:rsidRDefault="006F1643" w:rsidP="005E0960">
            <w:pPr>
              <w:pStyle w:val="Taula"/>
              <w:jc w:val="left"/>
              <w:rPr>
                <w:b/>
              </w:rPr>
            </w:pPr>
            <w:r w:rsidRPr="001B5503">
              <w:rPr>
                <w:b/>
              </w:rPr>
              <w:t>Step</w:t>
            </w:r>
          </w:p>
        </w:tc>
        <w:tc>
          <w:tcPr>
            <w:tcW w:w="1474" w:type="dxa"/>
          </w:tcPr>
          <w:p w14:paraId="678703C3" w14:textId="77777777" w:rsidR="006F1643" w:rsidRPr="001B5503" w:rsidRDefault="00A55585" w:rsidP="005E1B2A">
            <w:pPr>
              <w:pStyle w:val="Taula"/>
              <w:jc w:val="center"/>
              <w:rPr>
                <w:b/>
              </w:rPr>
            </w:pPr>
            <w:r w:rsidRPr="001B5503">
              <w:rPr>
                <w:b/>
              </w:rPr>
              <w:t>Anti-solvent method (</w:t>
            </w:r>
            <w:r w:rsidR="006F1643" w:rsidRPr="001B5503">
              <w:rPr>
                <w:b/>
              </w:rPr>
              <w:t>J/cm</w:t>
            </w:r>
            <w:r w:rsidR="006F1643" w:rsidRPr="001B5503">
              <w:rPr>
                <w:b/>
                <w:vertAlign w:val="superscript"/>
              </w:rPr>
              <w:t>2</w:t>
            </w:r>
            <w:r w:rsidR="006F1643" w:rsidRPr="001B5503">
              <w:rPr>
                <w:b/>
              </w:rPr>
              <w:t>)</w:t>
            </w:r>
          </w:p>
        </w:tc>
        <w:tc>
          <w:tcPr>
            <w:tcW w:w="1474" w:type="dxa"/>
          </w:tcPr>
          <w:p w14:paraId="41A82F73" w14:textId="77777777" w:rsidR="006F1643" w:rsidRPr="001B5503" w:rsidRDefault="00A55585" w:rsidP="005E1B2A">
            <w:pPr>
              <w:pStyle w:val="Taula"/>
              <w:jc w:val="center"/>
              <w:rPr>
                <w:b/>
              </w:rPr>
            </w:pPr>
            <w:r w:rsidRPr="001B5503">
              <w:rPr>
                <w:b/>
              </w:rPr>
              <w:t>Conventional method (</w:t>
            </w:r>
            <w:r w:rsidR="006F1643" w:rsidRPr="001B5503">
              <w:rPr>
                <w:b/>
              </w:rPr>
              <w:t>J/cm</w:t>
            </w:r>
            <w:r w:rsidR="006F1643" w:rsidRPr="001B5503">
              <w:rPr>
                <w:b/>
                <w:vertAlign w:val="superscript"/>
              </w:rPr>
              <w:t>2</w:t>
            </w:r>
            <w:r w:rsidR="006F1643" w:rsidRPr="001B5503">
              <w:rPr>
                <w:b/>
              </w:rPr>
              <w:t>)</w:t>
            </w:r>
          </w:p>
        </w:tc>
      </w:tr>
      <w:tr w:rsidR="00443179" w:rsidRPr="001B5503" w14:paraId="4A3946D1" w14:textId="77777777" w:rsidTr="00472350">
        <w:tc>
          <w:tcPr>
            <w:tcW w:w="2835" w:type="dxa"/>
            <w:vAlign w:val="center"/>
          </w:tcPr>
          <w:p w14:paraId="33A29613" w14:textId="77777777" w:rsidR="00443179" w:rsidRPr="001B5503" w:rsidRDefault="00443179" w:rsidP="00443179">
            <w:pPr>
              <w:pStyle w:val="Taula"/>
              <w:jc w:val="left"/>
            </w:pPr>
            <w:r w:rsidRPr="001B5503">
              <w:t>Mixing</w:t>
            </w:r>
          </w:p>
        </w:tc>
        <w:tc>
          <w:tcPr>
            <w:tcW w:w="1474" w:type="dxa"/>
          </w:tcPr>
          <w:p w14:paraId="7F641BC2" w14:textId="77777777" w:rsidR="00443179" w:rsidRPr="001B5503" w:rsidRDefault="00A55585" w:rsidP="005E1B2A">
            <w:pPr>
              <w:pStyle w:val="Taula"/>
              <w:jc w:val="center"/>
            </w:pPr>
            <w:r w:rsidRPr="001B5503">
              <w:t>3</w:t>
            </w:r>
            <w:r w:rsidR="00443179" w:rsidRPr="001B5503">
              <w:t>6</w:t>
            </w:r>
          </w:p>
        </w:tc>
        <w:tc>
          <w:tcPr>
            <w:tcW w:w="1474" w:type="dxa"/>
          </w:tcPr>
          <w:p w14:paraId="3E89DEE8" w14:textId="77777777" w:rsidR="00443179" w:rsidRPr="001B5503" w:rsidRDefault="00A55585" w:rsidP="005E1B2A">
            <w:pPr>
              <w:pStyle w:val="Taula"/>
              <w:jc w:val="center"/>
            </w:pPr>
            <w:r w:rsidRPr="001B5503">
              <w:t>1</w:t>
            </w:r>
            <w:r w:rsidR="00443179" w:rsidRPr="001B5503">
              <w:t>71</w:t>
            </w:r>
          </w:p>
        </w:tc>
      </w:tr>
      <w:tr w:rsidR="00443179" w:rsidRPr="001B5503" w14:paraId="2D7BAE4B" w14:textId="77777777" w:rsidTr="00472350">
        <w:tc>
          <w:tcPr>
            <w:tcW w:w="2835" w:type="dxa"/>
            <w:vAlign w:val="center"/>
          </w:tcPr>
          <w:p w14:paraId="125EA648" w14:textId="77777777" w:rsidR="00443179" w:rsidRPr="001B5503" w:rsidRDefault="00443179" w:rsidP="00443179">
            <w:pPr>
              <w:pStyle w:val="Taula"/>
              <w:jc w:val="left"/>
            </w:pPr>
            <w:r w:rsidRPr="001B5503">
              <w:t>Spin-coating (500 rpm)</w:t>
            </w:r>
          </w:p>
        </w:tc>
        <w:tc>
          <w:tcPr>
            <w:tcW w:w="1474" w:type="dxa"/>
          </w:tcPr>
          <w:p w14:paraId="541DD047" w14:textId="77777777" w:rsidR="00443179" w:rsidRPr="001B5503" w:rsidRDefault="00443179" w:rsidP="005E1B2A">
            <w:pPr>
              <w:pStyle w:val="Taula"/>
              <w:jc w:val="center"/>
            </w:pPr>
          </w:p>
        </w:tc>
        <w:tc>
          <w:tcPr>
            <w:tcW w:w="1474" w:type="dxa"/>
          </w:tcPr>
          <w:p w14:paraId="16CC0F82" w14:textId="77777777" w:rsidR="00443179" w:rsidRPr="001B5503" w:rsidRDefault="006C6408" w:rsidP="005E1B2A">
            <w:pPr>
              <w:pStyle w:val="Taula"/>
              <w:jc w:val="center"/>
            </w:pPr>
            <w:r w:rsidRPr="001B5503">
              <w:t>20</w:t>
            </w:r>
          </w:p>
        </w:tc>
      </w:tr>
      <w:tr w:rsidR="00443179" w:rsidRPr="001B5503" w14:paraId="4A62F483" w14:textId="77777777" w:rsidTr="00472350">
        <w:tc>
          <w:tcPr>
            <w:tcW w:w="2835" w:type="dxa"/>
            <w:vAlign w:val="center"/>
          </w:tcPr>
          <w:p w14:paraId="7CDA3255" w14:textId="77777777" w:rsidR="00443179" w:rsidRPr="001B5503" w:rsidRDefault="00443179" w:rsidP="00443179">
            <w:pPr>
              <w:pStyle w:val="Taula"/>
              <w:jc w:val="left"/>
            </w:pPr>
            <w:r w:rsidRPr="001B5503">
              <w:t>Spin-coating (1000 rpm)</w:t>
            </w:r>
          </w:p>
        </w:tc>
        <w:tc>
          <w:tcPr>
            <w:tcW w:w="1474" w:type="dxa"/>
          </w:tcPr>
          <w:p w14:paraId="59C9E4D5" w14:textId="77777777" w:rsidR="00443179" w:rsidRPr="001B5503" w:rsidRDefault="00443179" w:rsidP="005E1B2A">
            <w:pPr>
              <w:pStyle w:val="Taula"/>
              <w:jc w:val="center"/>
            </w:pPr>
            <w:r w:rsidRPr="001B5503">
              <w:t>144</w:t>
            </w:r>
          </w:p>
        </w:tc>
        <w:tc>
          <w:tcPr>
            <w:tcW w:w="1474" w:type="dxa"/>
          </w:tcPr>
          <w:p w14:paraId="315CA642" w14:textId="77777777" w:rsidR="00443179" w:rsidRPr="001B5503" w:rsidRDefault="00443179" w:rsidP="005E1B2A">
            <w:pPr>
              <w:pStyle w:val="Taula"/>
              <w:jc w:val="center"/>
            </w:pPr>
          </w:p>
        </w:tc>
      </w:tr>
      <w:tr w:rsidR="00443179" w:rsidRPr="001B5503" w14:paraId="222C6792" w14:textId="77777777" w:rsidTr="00472350">
        <w:tc>
          <w:tcPr>
            <w:tcW w:w="2835" w:type="dxa"/>
            <w:vAlign w:val="center"/>
          </w:tcPr>
          <w:p w14:paraId="514B2AD1" w14:textId="77777777" w:rsidR="00443179" w:rsidRPr="001B5503" w:rsidRDefault="00443179" w:rsidP="00443179">
            <w:pPr>
              <w:pStyle w:val="Taula"/>
              <w:jc w:val="left"/>
            </w:pPr>
            <w:r w:rsidRPr="001B5503">
              <w:t>Spin-coating (2000 rpm)</w:t>
            </w:r>
          </w:p>
        </w:tc>
        <w:tc>
          <w:tcPr>
            <w:tcW w:w="1474" w:type="dxa"/>
          </w:tcPr>
          <w:p w14:paraId="4BB67CFA" w14:textId="77777777" w:rsidR="00443179" w:rsidRPr="001B5503" w:rsidRDefault="00443179" w:rsidP="005E1B2A">
            <w:pPr>
              <w:pStyle w:val="Taula"/>
              <w:jc w:val="center"/>
            </w:pPr>
          </w:p>
        </w:tc>
        <w:tc>
          <w:tcPr>
            <w:tcW w:w="1474" w:type="dxa"/>
          </w:tcPr>
          <w:p w14:paraId="32E54F9F" w14:textId="77777777" w:rsidR="00443179" w:rsidRPr="001B5503" w:rsidRDefault="00A55585" w:rsidP="005E1B2A">
            <w:pPr>
              <w:pStyle w:val="Taula"/>
              <w:jc w:val="center"/>
            </w:pPr>
            <w:r w:rsidRPr="001B5503">
              <w:t>2</w:t>
            </w:r>
            <w:r w:rsidR="00443179" w:rsidRPr="001B5503">
              <w:t>52</w:t>
            </w:r>
          </w:p>
        </w:tc>
      </w:tr>
      <w:tr w:rsidR="00443179" w:rsidRPr="001B5503" w14:paraId="1A1B5FBE" w14:textId="77777777" w:rsidTr="00472350">
        <w:tc>
          <w:tcPr>
            <w:tcW w:w="2835" w:type="dxa"/>
            <w:vAlign w:val="center"/>
          </w:tcPr>
          <w:p w14:paraId="1C8E1998" w14:textId="77777777" w:rsidR="00443179" w:rsidRPr="001B5503" w:rsidRDefault="00443179" w:rsidP="00443179">
            <w:pPr>
              <w:pStyle w:val="Taula"/>
              <w:jc w:val="left"/>
            </w:pPr>
            <w:r w:rsidRPr="001B5503">
              <w:t>Spin-coating (6000 rpm)</w:t>
            </w:r>
          </w:p>
        </w:tc>
        <w:tc>
          <w:tcPr>
            <w:tcW w:w="1474" w:type="dxa"/>
          </w:tcPr>
          <w:p w14:paraId="12788F9F" w14:textId="77777777" w:rsidR="00443179" w:rsidRPr="001B5503" w:rsidRDefault="00443179" w:rsidP="005E1B2A">
            <w:pPr>
              <w:pStyle w:val="Taula"/>
              <w:jc w:val="center"/>
            </w:pPr>
            <w:r w:rsidRPr="001B5503">
              <w:t>288</w:t>
            </w:r>
          </w:p>
        </w:tc>
        <w:tc>
          <w:tcPr>
            <w:tcW w:w="1474" w:type="dxa"/>
          </w:tcPr>
          <w:p w14:paraId="362A9177" w14:textId="77777777" w:rsidR="00443179" w:rsidRPr="001B5503" w:rsidRDefault="00443179" w:rsidP="005E1B2A">
            <w:pPr>
              <w:pStyle w:val="Taula"/>
              <w:jc w:val="center"/>
            </w:pPr>
          </w:p>
        </w:tc>
      </w:tr>
      <w:tr w:rsidR="00443179" w:rsidRPr="001B5503" w14:paraId="72BEF079" w14:textId="77777777" w:rsidTr="00472350">
        <w:tc>
          <w:tcPr>
            <w:tcW w:w="2835" w:type="dxa"/>
            <w:vAlign w:val="center"/>
          </w:tcPr>
          <w:p w14:paraId="2734C9E0" w14:textId="77777777" w:rsidR="00443179" w:rsidRPr="001B5503" w:rsidRDefault="00443179" w:rsidP="00443179">
            <w:pPr>
              <w:pStyle w:val="Taula"/>
              <w:jc w:val="left"/>
            </w:pPr>
            <w:r w:rsidRPr="001B5503">
              <w:t>Annealing</w:t>
            </w:r>
          </w:p>
        </w:tc>
        <w:tc>
          <w:tcPr>
            <w:tcW w:w="1474" w:type="dxa"/>
          </w:tcPr>
          <w:p w14:paraId="2F3165A7" w14:textId="77777777" w:rsidR="00443179" w:rsidRPr="001B5503" w:rsidRDefault="00443179" w:rsidP="005E1B2A">
            <w:pPr>
              <w:pStyle w:val="Taula"/>
              <w:jc w:val="center"/>
            </w:pPr>
            <w:r w:rsidRPr="001B5503">
              <w:t>16</w:t>
            </w:r>
            <w:r w:rsidR="006C6408" w:rsidRPr="001B5503">
              <w:t>47</w:t>
            </w:r>
          </w:p>
        </w:tc>
        <w:tc>
          <w:tcPr>
            <w:tcW w:w="1474" w:type="dxa"/>
          </w:tcPr>
          <w:p w14:paraId="151571E4" w14:textId="77777777" w:rsidR="00443179" w:rsidRPr="001B5503" w:rsidRDefault="00443179" w:rsidP="005E1B2A">
            <w:pPr>
              <w:pStyle w:val="Taula"/>
              <w:jc w:val="center"/>
            </w:pPr>
            <w:r w:rsidRPr="001B5503">
              <w:t>1</w:t>
            </w:r>
            <w:r w:rsidR="006C6408" w:rsidRPr="001B5503">
              <w:t>647</w:t>
            </w:r>
          </w:p>
        </w:tc>
      </w:tr>
      <w:tr w:rsidR="00443179" w:rsidRPr="001B5503" w14:paraId="373F41BB" w14:textId="77777777" w:rsidTr="00472350">
        <w:tc>
          <w:tcPr>
            <w:tcW w:w="2835" w:type="dxa"/>
            <w:vAlign w:val="center"/>
          </w:tcPr>
          <w:p w14:paraId="221C3816" w14:textId="77777777" w:rsidR="00443179" w:rsidRPr="001B5503" w:rsidRDefault="00443179" w:rsidP="00443179">
            <w:pPr>
              <w:pStyle w:val="Taula"/>
              <w:jc w:val="left"/>
            </w:pPr>
            <w:r w:rsidRPr="001B5503">
              <w:t>Total energy consumption</w:t>
            </w:r>
          </w:p>
        </w:tc>
        <w:tc>
          <w:tcPr>
            <w:tcW w:w="1474" w:type="dxa"/>
          </w:tcPr>
          <w:p w14:paraId="2FA06DA6" w14:textId="77777777" w:rsidR="00443179" w:rsidRPr="001B5503" w:rsidRDefault="00A55585" w:rsidP="005E1B2A">
            <w:pPr>
              <w:pStyle w:val="Taula"/>
              <w:jc w:val="center"/>
            </w:pPr>
            <w:r w:rsidRPr="001B5503">
              <w:t>2</w:t>
            </w:r>
            <w:r w:rsidR="00443179" w:rsidRPr="001B5503">
              <w:t>1</w:t>
            </w:r>
            <w:r w:rsidR="006C6408" w:rsidRPr="001B5503">
              <w:t>15</w:t>
            </w:r>
          </w:p>
        </w:tc>
        <w:tc>
          <w:tcPr>
            <w:tcW w:w="1474" w:type="dxa"/>
          </w:tcPr>
          <w:p w14:paraId="389B41FC" w14:textId="77777777" w:rsidR="00443179" w:rsidRPr="001B5503" w:rsidRDefault="006C6408" w:rsidP="005E1B2A">
            <w:pPr>
              <w:pStyle w:val="Taula"/>
              <w:jc w:val="center"/>
            </w:pPr>
            <w:r w:rsidRPr="001B5503">
              <w:t>2090</w:t>
            </w:r>
          </w:p>
        </w:tc>
      </w:tr>
    </w:tbl>
    <w:p w14:paraId="10C96CF7" w14:textId="77777777" w:rsidR="00FC1C51" w:rsidRPr="001B5503" w:rsidRDefault="00FC1C51" w:rsidP="00725223">
      <w:pPr>
        <w:pStyle w:val="Taula"/>
      </w:pPr>
    </w:p>
    <w:p w14:paraId="1A6604E4" w14:textId="77777777" w:rsidR="003D7156" w:rsidRDefault="003D7156" w:rsidP="003D7156">
      <w:r w:rsidRPr="001B5503">
        <w:t>Finally, there are t</w:t>
      </w:r>
      <w:r w:rsidR="00D81D78" w:rsidRPr="001B5503">
        <w:t>wo</w:t>
      </w:r>
      <w:r w:rsidRPr="001B5503">
        <w:t xml:space="preserve"> classes of inventory flows left to account for. These are the </w:t>
      </w:r>
      <w:r w:rsidR="00187C44" w:rsidRPr="001B5503">
        <w:t xml:space="preserve">amount of </w:t>
      </w:r>
      <w:r w:rsidRPr="001B5503">
        <w:t>transportation and the outputs released during the deposition.</w:t>
      </w:r>
      <w:r w:rsidR="00187C44" w:rsidRPr="001B5503">
        <w:t xml:space="preserve"> The amount of transportation was obtained from the distance of the supplier to Castelló (Spain), where the laboratories are located. Solvent releases during perovskite deposition were assumed to be similar to the amounts of solvent used.</w:t>
      </w:r>
      <w:r w:rsidR="0095393D" w:rsidRPr="001B5503">
        <w:t xml:space="preserve"> A complete inventory is described in the supplementary information</w:t>
      </w:r>
      <w:r w:rsidR="007D0AAE" w:rsidRPr="001B5503">
        <w:t xml:space="preserve"> Tables S1</w:t>
      </w:r>
      <w:r w:rsidR="00113285">
        <w:t>-</w:t>
      </w:r>
      <w:r w:rsidR="007D0AAE" w:rsidRPr="001B5503">
        <w:t>S7</w:t>
      </w:r>
      <w:r w:rsidR="0095393D" w:rsidRPr="001B5503">
        <w:t>.</w:t>
      </w:r>
    </w:p>
    <w:p w14:paraId="56D66B67" w14:textId="77777777" w:rsidR="00E43EBA" w:rsidRPr="001C2942" w:rsidRDefault="00E43EBA" w:rsidP="00E43EBA">
      <w:pPr>
        <w:pStyle w:val="Ttulo2"/>
      </w:pPr>
      <w:r w:rsidRPr="001C2942">
        <w:t>Anti-solvent method analysis</w:t>
      </w:r>
    </w:p>
    <w:p w14:paraId="7AE340AE" w14:textId="77777777" w:rsidR="00E43EBA" w:rsidRPr="001B5503" w:rsidRDefault="009F19FB" w:rsidP="003D7156">
      <w:r w:rsidRPr="001C2942">
        <w:t xml:space="preserve">In order to provide more insight </w:t>
      </w:r>
      <w:r w:rsidR="00871462" w:rsidRPr="001C2942">
        <w:t>into</w:t>
      </w:r>
      <w:r w:rsidRPr="001C2942">
        <w:t xml:space="preserve"> </w:t>
      </w:r>
      <w:r w:rsidR="00871462" w:rsidRPr="001C2942">
        <w:t>the environmental consequences stemming from the anti-solvent method, an analysis of different compounds used is performed.</w:t>
      </w:r>
      <w:r w:rsidR="00AE6867" w:rsidRPr="001C2942">
        <w:t xml:space="preserve"> The most </w:t>
      </w:r>
      <w:r w:rsidR="00601B39" w:rsidRPr="001C2942">
        <w:t>used chemicals analysed herein are CB, DE, XYL, TL, EA and DCM.</w:t>
      </w:r>
      <w:r w:rsidR="00601B39" w:rsidRPr="001C2942">
        <w:fldChar w:fldCharType="begin" w:fldLock="1"/>
      </w:r>
      <w:r w:rsidR="00601B39" w:rsidRPr="001C2942">
        <w:instrText>ADDIN CSL_CITATION { "citationItems" : [ { "id" : "ITEM-1", "itemData" : { "DOI" : "10.1021/acs.chemmater.6b05353", "ISSN" : "0897-4756", "abstract" : "To date, antisolvent treatment has become one of the most important means to fabricate high efficiency perovskite solar cells (PSCs); however, the few reported antisolvents have not been analyzed on a uniform platform, and there is hitherto no clear reasoning in the choice of antisolvents toward high performance PSCs. Here, we study the role of the antisolvents in the nucleation kinetics of perovskite solutions and their residual influence on perovskite crystal growth, film formation, and device performance. Through X-ray diffraction analysis on the complicated double mixed perovskite, we qualitatively evaluate the impact of thermal annealing and antisolvent treatment (A.S.T.) on the phase composition and microstructure of the films. By using miscible antisolvents with high boiling point instead of immiscible low boiling point solvents, we obtain homogeneous and almost pinhole-free perovskite films. When using trifluorotoluene (TFT) to replace toluene and chlorobenzene as a novel antisolvent, we achieve a power conversion efficiency (PCE) of 20.3% under optimized device fabrication conditions with a composite perovskite as active layer. The conclusions from this study should assist in establishing reproducible fabrication processes and finding better antisolvent candidates for perovskite solar cells.", "author" : [ { "dropping-particle" : "", "family" : "Paek", "given" : "S", "non-dropping-particle" : "", "parse-names" : false, "suffix" : "" }, { "dropping-particle" : "", "family" : "Schouwink", "given" : "P", "non-dropping-particle" : "", "parse-names" : false, "suffix" : "" }, { "dropping-particle" : "", "family" : "Athanasopoulou", "given" : "E Nefeli", "non-dropping-particle" : "", "parse-names" : false, "suffix" : "" }, { "dropping-particle" : "", "family" : "Cho", "given" : "K T", "non-dropping-particle" : "", "parse-names" : false, "suffix" : "" }, { "dropping-particle" : "", "family" : "Grancini", "given" : "G", "non-dropping-particle" : "", "parse-names" : false, "suffix" : "" }, { "dropping-particle" : "", "family" : "Lee", "given" : "Y", "non-dropping-particle" : "", "parse-names" : false, "suffix" : "" }, { "dropping-particle" : "", "family" : "Zhang", "given" : "Y", "non-dropping-particle" : "", "parse-names" : false, "suffix" : "" }, { "dropping-particle" : "", "family" : "Stellacci", "given" : "F", "non-dropping-particle" : "", "parse-names" : false, "suffix" : "" }, { "dropping-particle" : "", "family" : "Nazeeruddin", "given" : "Mohammad Khaja", "non-dropping-particle" : "", "parse-names" : false, "suffix" : "" }, { "dropping-particle" : "", "family" : "Gao", "given" : "P", "non-dropping-particle" : "", "parse-names" : false, "suffix" : "" } ], "container-title" : "Chemistry of Materials", "id" : "ITEM-1", "issue" : "8", "issued" : { "date-parts" : [ [ "2017", "4", "25" ] ] }, "note" : "doi: 10.1021/acs.chemmater.6b05353", "page" : "3490-3498", "publisher" : "American Chemical Society", "title" : "From Nano- to Micrometer Scale: The Role of Antisolvent Treatment on High Performance Perovskite Solar Cells", "type" : "article-journal", "volume" : "29" }, "uris" : [ "http://www.mendeley.com/documents/?uuid=c5aa0e0b-4119-475e-b4f3-86a4a39fd488" ] }, { "id" : "ITEM-2", "itemData" : { "DOI" : "10.3390/cryst7100291", "ISBN" : "2073-4352", "ISSN" : "2073-4352", "abstract" : "Solution-processed organic-inorganic halide perovskites are currently established as the hottest area of interest in the world of photovoltaics, ensuring low manufacturing cost and high conversion efficiencies. Even though various fabrication/deposition approaches and device architectures have been tested, researchers quickly realized that the key for the excellent solar cell operation was the quality of the crystallization of the perovskite film, employed to assure efficient photogeneration of carriers, charge separation and transport of the separated carriers at the contacts. One of the most typical methods in chemistry to crystallize a material is anti-solvent precipitation. Indeed, this classical precipitation method worked really well for the growth of single crystals of perovskite. Fortunately, the method was also effective for the preparation of perovskite films by adopting an anti-solvent dripping technique during spin-coating the perovskite precursor solution on the substrate. With this, polycrystalline perovskite films with pure and stable crystal phases accompanied with excellent surface coverage were prepared, leading to highly reproducible efficiencies close to 22%. In this review, we discuss recent results on highly efficient solar cells, obtained by the anti-solvent dripping method, always in the presence of Lewis base adducts of lead(II) iodide. We present all the anti-solvents that can be used and what is the impact of them on device efficiencies. Finally, we analyze the critical challenges that currently limit the efficacy/reproducibility of this crystallization method and propose prospects for future directions.", "author" : [ { "dropping-particle" : "", "family" : "Konstantakou", "given" : "Maria", "non-dropping-particle" : "", "parse-names" : false, "suffix" : "" }, { "dropping-particle" : "", "family" : "Perganti", "given" : "Dorothea", "non-dropping-particle" : "", "parse-names" : false, "suffix" : "" }, { "dropping-particle" : "", "family" : "Falaras", "given" : "Polycarpos", "non-dropping-particle" : "", "parse-names" : false, "suffix" : "" }, { "dropping-particle" : "", "family" : "Stergiopoulos", "given" : "Thomas", "non-dropping-particle" : "", "parse-names" : false, "suffix" : "" } ], "container-title" : "Crystals", "id" : "ITEM-2", "issue" : "10", "issued" : { "date-parts" : [ [ "2017", "9", "28" ] ] }, "page" : "291", "title" : "Anti-Solvent Crystallization Strategies for Highly Efficient Perovskite Solar Cells", "type" : "article-journal", "volume" : "7" }, "uris" : [ "http://www.mendeley.com/documents/?uuid=9dae9838-baeb-4a07-9fd6-9c5580b3bf9a" ] }, { "id" : "ITEM-3", "itemData" : { "DOI" : "10.1039/C7SE00125H", "ISSN" : "2398-4902", "abstract" : "For high-performance perovskite solar cells, one-step solution deposition with anti-solvent washing is reported as an excellent processing method. In this paper, we employ attenuated total reflection Fourier transform infrared spectroscopy (ATR-FTIR), to quantitatively evaluate the relative contents of an intermediate phase in the as-prepared films, altered by anti-solvents, i.e. dichloromethane (DCM), toluene (TL), and diethyl ether (DE). Based on the joint measurements of scanning electron microscopy (SEM), X-ray diffraction (XRD), photoluminescence (PL), femtosecond transient absorption (fs-TA), current\u2013voltage (J\u2013V), and impedance spectroscopy, we reveal that a high content of the intermediate phase endowed with the anti-solvent DE is beneficial to film quality and device efficiency. A high coverage and pin-hole free CH3NH3PbI3 film with a long PL lifetime attained via DE washing is utilized to fabricate a CH3NH3PbI3 solar cell exhibiting over 17% power conversion efficiency. It is found that the formation of a high content intermediate phase in the as-prepared thin film is crucial to finally produce a dense and compact perovskite film with the aid of thermal annealing.", "author" : [ { "dropping-particle" : "", "family" : "Li", "given" : "Yang", "non-dropping-particle" : "", "parse-names" : false, "suffix" : "" }, { "dropping-particle" : "", "family" : "Wang", "given" : "Jianan", "non-dropping-particle" : "", "parse-names" : false, "suffix" : "" }, { "dropping-particle" : "", "family" : "Yuan", "given" : "Yi", "non-dropping-particle" : "", "parse-names" : false, "suffix" : "" }, { "dropping-particle" : "", "family" : "Dong", "given" : "Xiandui", "non-dropping-particle" : "", "parse-names" : false, "suffix" : "" }, { "dropping-particle" : "", "family" : "Wang", "given" : "Peng", "non-dropping-particle" : "", "parse-names" : false, "suffix" : "" } ], "container-title" : "Sustainable Energy &amp; Fuels", "id" : "ITEM-3", "issue" : "5", "issued" : { "date-parts" : [ [ "2017" ] ] }, "page" : "1041-1048", "publisher" : "The Royal Society of Chemistry", "title" : "Anti-solvent dependent device performance in CH 3 NH 3 PbI 3 solar cells: the role of intermediate phase content in the as-prepared thin films", "type" : "article-journal", "volume" : "1" }, "uris" : [ "http://www.mendeley.com/documents/?uuid=5f89ff36-2e29-4d59-9354-02707711d713" ] }, { "id" : "ITEM-4", "itemData" : { "DOI" : "10.1016/j.nanoen.2015.08.023", "ISSN" : "22112855", "abstract" : "Anti-solvent assisted crystallization (ASAC) approach was used to synthesize crystalline CH3NH3PbBr3 thin films with uniform microstructures through accelerated crystallization process at room temperature. The influence of different solvents and various interval dropping time on the final morphology was investigated. Photovoltaic devices with TiO2/CH3NH3PbBr3/spiro-MeOTAD structure were fabricated using ASAC approach without any post-annealing process. The devices were found to exhibit fast photocurrent response and small J\u2013V hysteresis due to the room temperature processing that minimizes the formation of surface electron traps and corresponding slow transient current. The ASAC-CH3NH3PbBr3 solar cells exhibited open circuit voltage of 1.42V with champion power conversion efficiency (PCE) of 8.29%, much higher than the devices fabricated without using anti-solvent approach having a Voc of 1.01V and PCE of 3.15%. Our results demonstrate that ASAC approach can provide high performance room temperature fabrication method for low-cost perovskite solar cells.", "author" : [ { "dropping-particle" : "", "family" : "Zheng", "given" : "Xiaojia", "non-dropping-particle" : "", "parse-names" : false, "suffix" : "" }, { "dropping-particle" : "", "family" : "Chen", "given" : "Bo", "non-dropping-particle" : "", "parse-names" : false, "suffix" : "" }, { "dropping-particle" : "", "family" : "Wu", "given" : "Congcong", "non-dropping-particle" : "", "parse-names" : false, "suffix" : "" }, { "dropping-particle" : "", "family" : "Priya", "given" : "Shashank", "non-dropping-particle" : "", "parse-names" : false, "suffix" : "" } ], "container-title" : "Nano Energy", "id" : "ITEM-4", "issued" : { "date-parts" : [ [ "2015", "10" ] ] }, "page" : "269-278", "title" : "Room temperature fabrication of CH 3 NH 3 PbBr 3 by anti-solvent assisted crystallization approach for perovskite solar cells with fast response and small J \u2013 V hysteresis", "type" : "article-journal", "volume" : "17" }, "uris" : [ "http://www.mendeley.com/documents/?uuid=5b222e7c-d69c-4a49-bcc3-66e5f589aa37" ] } ], "mendeley" : { "formattedCitation" : "&lt;sup&gt;18\u201321&lt;/sup&gt;", "plainTextFormattedCitation" : "18\u201321", "previouslyFormattedCitation" : "&lt;sup&gt;18\u201321&lt;/sup&gt;" }, "properties" : {  }, "schema" : "https://github.com/citation-style-language/schema/raw/master/csl-citation.json" }</w:instrText>
      </w:r>
      <w:r w:rsidR="00601B39" w:rsidRPr="001C2942">
        <w:fldChar w:fldCharType="separate"/>
      </w:r>
      <w:r w:rsidR="00601B39" w:rsidRPr="001C2942">
        <w:rPr>
          <w:noProof/>
          <w:vertAlign w:val="superscript"/>
        </w:rPr>
        <w:t>18–21</w:t>
      </w:r>
      <w:r w:rsidR="00601B39" w:rsidRPr="001C2942">
        <w:fldChar w:fldCharType="end"/>
      </w:r>
      <w:r w:rsidR="00601B39" w:rsidRPr="001C2942">
        <w:t xml:space="preserve"> The processes of production of those chemicals were obtained from Ecoinvent database</w:t>
      </w:r>
      <w:r w:rsidR="006B1E59" w:rsidRPr="001C2942">
        <w:t>.</w:t>
      </w:r>
      <w:r w:rsidR="006B1E59" w:rsidRPr="001C2942">
        <w:fldChar w:fldCharType="begin" w:fldLock="1"/>
      </w:r>
      <w:r w:rsidR="006B1E59" w:rsidRPr="001C2942">
        <w:instrText>ADDIN CSL_CITATION { "citationItems" : [ { "id" : "ITEM-1", "itemData" : { "DOI" : "10.1065/lca2004.10.181.1", "ISBN" : "0948-3349", "ISSN" : "09483349", "PMID" : "10743", "abstract" : "This paper provides an overview on the content of the ecoinvent database and of selected metholodogical issues applied on the life cycle inventories implemented in the ecoinvent database. In the year 2000, several Swiss Federal Offices and research institutes of the ETH domain agreed on a joint effort to harmonise and update life cycle inventory (LCI) data for its use in life cycle assessment (LCA). With the ecoinvent database and its actual data v1.1 a consistent set of more than 2'700 product and service LCIs covering the energy, transport, building materials, chemicals, pulp and paper, waste management and agricultural sectors is now available. Datasets are valid for European and Swiss conditions but partly also for other regions in the world (e.g., gas and oil extraction, metals mining). Nearly all process datasets are transparently documented on the level of unit process inputs and outputs. Methodological approaches have been applied consistently throughout the entire database content and thus guarantee for a coherent set of LCI data. This is particularly true for market and trade modelling, and for the treatment of multioutput and of recycling processes. Most multi-output processes are implemented as such, i.e., in their unallocated form with several co-product outputs and related allocation factors. With the help of these allocation factors, unit process raw data are derived and additionally stored in the ecoinvent database. This approach guarantees that 100 % of all inputs to and outputs from the multi-output process are allocated to the co-products. Transparency in reporting on a unit process level helps to adjust allocation factors applied on a multi-output process to one\u00e2\u20ac\u2122s own needs. With limited own efforts one can even change the allocation approach from allocation to system expansion, in case this is considered more appropriate. Although measures have been taken to minimise errors in the database, they cannot be excluded. A pro-active information policy on data errors is followed. It helps the users to judge whether they may still work with the present version of ecoinvent data or they better correct selected errors that might otherwise influence the outcome of their current LCA case studies. The existence of the ecoinvent database proves that it is possible and feasible to build up a large interlinked system of LCI unit processes. The project work proved to be demanding in terms of co-ordination efforts and consent identification. One m\u2026", "author" : [ { "dropping-particle" : "", "family" : "Frischknecht", "given" : "Rolf", "non-dropping-particle" : "", "parse-names" : false, "suffix" : "" }, { "dropping-particle" : "", "family" : "Jungbluth", "given" : "Niels", "non-dropping-particle" : "", "parse-names" : false, "suffix" : "" }, { "dropping-particle" : "", "family" : "Althaus", "given" : "Hans J\u00f6rg", "non-dropping-particle" : "", "parse-names" : false, "suffix" : "" }, { "dropping-particle" : "", "family" : "Doka", "given" : "Gabor", "non-dropping-particle" : "", "parse-names" : false, "suffix" : "" }, { "dropping-particle" : "", "family" : "Dones", "given" : "Roberto", "non-dropping-particle" : "", "parse-names" : false, "suffix" : "" }, { "dropping-particle" : "", "family" : "Heck", "given" : "Thomas", "non-dropping-particle" : "", "parse-names" : false, "suffix" : "" }, { "dropping-particle" : "", "family" : "Hellweg", "given" : "Stefanie", "non-dropping-particle" : "", "parse-names" : false, "suffix" : "" }, { "dropping-particle" : "", "family" : "Hischier", "given" : "Roland", "non-dropping-particle" : "", "parse-names" : false, "suffix" : "" }, { "dropping-particle" : "", "family" : "Nemecek", "given" : "Thomas", "non-dropping-particle" : "", "parse-names" : false, "suffix" : "" }, { "dropping-particle" : "", "family" : "Rebitzer", "given" : "Gerald", "non-dropping-particle" : "", "parse-names" : false, "suffix" : "" }, { "dropping-particle" : "", "family" : "Spielmann", "given" : "Michael", "non-dropping-particle" : "", "parse-names" : false, "suffix" : "" } ], "container-title" : "International Journal of Life Cycle Assessment", "id" : "ITEM-1", "issue" : "1", "issued" : { "date-parts" : [ [ "2005" ] ] }, "language" : "English", "page" : "3-9", "publisher" : "Ecomed", "title" : "The ecoinvent database: Overview and methodological framework", "type" : "article", "volume" : "10" }, "uris" : [ "http://www.mendeley.com/documents/?uuid=9262dc24-4c51-4a19-b7af-bf785ce31c5f" ] } ], "mendeley" : { "formattedCitation" : "&lt;sup&gt;44&lt;/sup&gt;", "plainTextFormattedCitation" : "44", "previouslyFormattedCitation" : "&lt;sup&gt;44&lt;/sup&gt;" }, "properties" : {  }, "schema" : "https://github.com/citation-style-language/schema/raw/master/csl-citation.json" }</w:instrText>
      </w:r>
      <w:r w:rsidR="006B1E59" w:rsidRPr="001C2942">
        <w:fldChar w:fldCharType="separate"/>
      </w:r>
      <w:r w:rsidR="006B1E59" w:rsidRPr="001C2942">
        <w:rPr>
          <w:noProof/>
          <w:vertAlign w:val="superscript"/>
        </w:rPr>
        <w:t>44</w:t>
      </w:r>
      <w:r w:rsidR="006B1E59" w:rsidRPr="001C2942">
        <w:fldChar w:fldCharType="end"/>
      </w:r>
      <w:r w:rsidR="006B1E59" w:rsidRPr="001C2942">
        <w:t xml:space="preserve"> The volume of </w:t>
      </w:r>
      <w:r w:rsidR="00F840AA" w:rsidRPr="001C2942">
        <w:t xml:space="preserve">solvent used is assumed as 1 µl, which corresponds to a single drop deposited. </w:t>
      </w:r>
      <w:r w:rsidR="00A3604C" w:rsidRPr="001C2942">
        <w:t>Finally, t</w:t>
      </w:r>
      <w:r w:rsidR="00F840AA" w:rsidRPr="001C2942">
        <w:t>his volume is multiplied by the density of each compound to determine the mass utilised.</w:t>
      </w:r>
      <w:r w:rsidR="00F57526" w:rsidRPr="001C2942">
        <w:t xml:space="preserve"> The results are presented in </w:t>
      </w:r>
      <w:r w:rsidR="00794A07" w:rsidRPr="001C2942">
        <w:t>the supplementary information (s</w:t>
      </w:r>
      <w:r w:rsidR="003A5930" w:rsidRPr="001C2942">
        <w:t>ection 2.2</w:t>
      </w:r>
      <w:r w:rsidR="00A23E6B" w:rsidRPr="001C2942">
        <w:t>.2</w:t>
      </w:r>
      <w:r w:rsidR="00F57526" w:rsidRPr="001C2942">
        <w:t>).</w:t>
      </w:r>
    </w:p>
    <w:p w14:paraId="7B35537C" w14:textId="77777777" w:rsidR="006E4403" w:rsidRPr="001B5503" w:rsidRDefault="006E4403" w:rsidP="006E4403">
      <w:pPr>
        <w:pStyle w:val="Ttulo2"/>
      </w:pPr>
      <w:r w:rsidRPr="001B5503">
        <w:t xml:space="preserve">Economic </w:t>
      </w:r>
      <w:r w:rsidR="002F4DF6" w:rsidRPr="001B5503">
        <w:t>analysis</w:t>
      </w:r>
    </w:p>
    <w:p w14:paraId="47D0BB0D" w14:textId="77777777" w:rsidR="006E4403" w:rsidRPr="001B5503" w:rsidRDefault="002F4DF6" w:rsidP="006E4403">
      <w:r w:rsidRPr="001B5503">
        <w:t xml:space="preserve">An additional economic analysis </w:t>
      </w:r>
      <w:r w:rsidR="00F52AE4" w:rsidRPr="001B5503">
        <w:t>was performed in order to support the environmental assessment.</w:t>
      </w:r>
      <w:r w:rsidR="00680571" w:rsidRPr="001B5503">
        <w:t xml:space="preserve"> For this analysis, </w:t>
      </w:r>
      <w:r w:rsidR="00287434" w:rsidRPr="001B5503">
        <w:t>chemicals for the synthesis and deposition of perovskite were only considered as transport price is embedded into chemicals</w:t>
      </w:r>
      <w:r w:rsidR="005A179F" w:rsidRPr="001B5503">
        <w:t>’</w:t>
      </w:r>
      <w:r w:rsidR="00287434" w:rsidRPr="001B5503">
        <w:t xml:space="preserve"> price.</w:t>
      </w:r>
      <w:r w:rsidR="007B5C4E">
        <w:t xml:space="preserve"> </w:t>
      </w:r>
      <w:r w:rsidR="00EE2B2E" w:rsidRPr="001B5503">
        <w:t xml:space="preserve">The energy consumption flow was not included in the economic analysis due to the great uncertainty of its </w:t>
      </w:r>
      <w:r w:rsidR="00EE2B2E" w:rsidRPr="000A0F11">
        <w:t xml:space="preserve">measurement. </w:t>
      </w:r>
      <w:r w:rsidR="0029279E" w:rsidRPr="000A0F11">
        <w:t xml:space="preserve">It is important to emphasise that this was done exclusively for this economic analysis. </w:t>
      </w:r>
      <w:r w:rsidR="00287B73" w:rsidRPr="000A0F11">
        <w:t>Furthermore, th</w:t>
      </w:r>
      <w:r w:rsidR="00BA08C3" w:rsidRPr="000A0F11">
        <w:t>e process outputs were supposed</w:t>
      </w:r>
      <w:r w:rsidR="00287B73" w:rsidRPr="000A0F11">
        <w:t xml:space="preserve"> void </w:t>
      </w:r>
      <w:r w:rsidR="00BA08C3" w:rsidRPr="000A0F11">
        <w:t xml:space="preserve">of </w:t>
      </w:r>
      <w:r w:rsidR="00287B73" w:rsidRPr="000A0F11">
        <w:t>economic cost.</w:t>
      </w:r>
      <w:r w:rsidR="005A179F" w:rsidRPr="000A0F11">
        <w:t xml:space="preserve"> The price </w:t>
      </w:r>
      <w:r w:rsidR="00287B73" w:rsidRPr="000A0F11">
        <w:t>in</w:t>
      </w:r>
      <w:r w:rsidR="00287B73" w:rsidRPr="001B5503">
        <w:t xml:space="preserve"> euros </w:t>
      </w:r>
      <w:r w:rsidR="005A179F" w:rsidRPr="001B5503">
        <w:t>of each input was calculated from the amount of each used and its retail price</w:t>
      </w:r>
      <w:r w:rsidR="00C73C42" w:rsidRPr="001B5503">
        <w:t xml:space="preserve"> from the main suppliers</w:t>
      </w:r>
      <w:r w:rsidR="005A179F" w:rsidRPr="001B5503">
        <w:t>.</w:t>
      </w:r>
      <w:r w:rsidR="00E92CB0" w:rsidRPr="001B5503">
        <w:t xml:space="preserve"> Further details are provided in the supplementary information</w:t>
      </w:r>
      <w:r w:rsidR="007D0AAE" w:rsidRPr="001B5503">
        <w:t xml:space="preserve"> Table S8</w:t>
      </w:r>
      <w:r w:rsidR="00E92CB0" w:rsidRPr="001B5503">
        <w:t>.</w:t>
      </w:r>
    </w:p>
    <w:p w14:paraId="2DA4B711" w14:textId="77777777" w:rsidR="00FC1C51" w:rsidRPr="001B5503" w:rsidRDefault="00890BB8" w:rsidP="00FC1C51">
      <w:pPr>
        <w:pStyle w:val="Ttulo2"/>
      </w:pPr>
      <w:r w:rsidRPr="001B5503">
        <w:lastRenderedPageBreak/>
        <w:t>Impact</w:t>
      </w:r>
      <w:r w:rsidR="008620BC" w:rsidRPr="001B5503">
        <w:t xml:space="preserve"> categories</w:t>
      </w:r>
    </w:p>
    <w:p w14:paraId="230FDCBF" w14:textId="77777777" w:rsidR="00987726" w:rsidRPr="001B5503" w:rsidRDefault="00D308AE" w:rsidP="00987726">
      <w:r w:rsidRPr="001B5503">
        <w:t xml:space="preserve">For a comprehensive and thorough comparison, eleven impact categories were chosen, </w:t>
      </w:r>
      <w:r w:rsidR="002C7834" w:rsidRPr="001B5503">
        <w:t>in which the most developed impact models and the most representative categories were rendered</w:t>
      </w:r>
      <w:r w:rsidR="0075168A">
        <w:t xml:space="preserve">, see </w:t>
      </w:r>
      <w:r w:rsidR="0075168A">
        <w:fldChar w:fldCharType="begin"/>
      </w:r>
      <w:r w:rsidR="0075168A">
        <w:instrText xml:space="preserve"> REF _Ref473829755 \h </w:instrText>
      </w:r>
      <w:r w:rsidR="0075168A">
        <w:fldChar w:fldCharType="separate"/>
      </w:r>
      <w:r w:rsidR="0075168A" w:rsidRPr="001B5503">
        <w:t xml:space="preserve">Table </w:t>
      </w:r>
      <w:r w:rsidR="0075168A">
        <w:rPr>
          <w:noProof/>
        </w:rPr>
        <w:t>4</w:t>
      </w:r>
      <w:r w:rsidR="0075168A">
        <w:fldChar w:fldCharType="end"/>
      </w:r>
      <w:r w:rsidR="002C7834" w:rsidRPr="001B5503">
        <w:t xml:space="preserve">. </w:t>
      </w:r>
      <w:r w:rsidR="000D1D00" w:rsidRPr="001B5503">
        <w:t>Seven of this group of categories are included in the CML baseline V3.02</w:t>
      </w:r>
      <w:r w:rsidR="001D0E61" w:rsidRPr="001B5503">
        <w:t>.</w:t>
      </w:r>
      <w:r w:rsidR="0099656C" w:rsidRPr="001B5503">
        <w:fldChar w:fldCharType="begin" w:fldLock="1"/>
      </w:r>
      <w:r w:rsidR="00D67546">
        <w:instrText>ADDIN CSL_CITATION { "citationItems" : [ { "id" : "ITEM-1", "itemData" : { "DOI" : "10.1007/0-306-48055-7", "ISBN" : "978-1-4020-0228-1", "ISSN" : "1523-1755", "PMID" : "22042025", "abstract" : "Environmental policy aims at the transition to sustainable production and consumption. This is taking place in different ways and at different levels. In cases where businesses are continuously active to improve the environmental performance of their products and activities, the availability of knowledge on environmental impacts is indispensable. The integrated assessment of all environmental impacts from cradle to grave is the basis for many decisions relating to achieving improved products and services. The assessment tool most widely used for this is the environmental Life Cycle Assessment, or LCA. Before you is the new Handbook of LCA replacing the previous edition of 1992. New developments in LCA methodology from all over the world have been discussed and, where possible, included in this new Handbook. Integration of all developments into a new, consistent method has been the main aim for the new Handbook. The thinking on environment and sustainability is, however, quickly evolving so that it is already clear now that this new LCA Handbook does not embrace the very latest developments. Therefore, further revisions will have to take place in the future. A major advantage of this Handbook is that it now also advises which procedures should be followed to achieve adequate, relevant and accepted results. Furthermore, the distinction between detailed and simplified LCA makes this Handbook more broadly applicable, while guidance is provided as to which additional information can be relevant for specialised applications.", "author" : [ { "dropping-particle" : "", "family" : "Bruijn", "given" : "Hans", "non-dropping-particle" : "de", "parse-names" : false, "suffix" : "" }, { "dropping-particle" : "", "family" : "Duin", "given" : "Robbert", "non-dropping-particle" : "van", "parse-names" : false, "suffix" : "" }, { "dropping-particle" : "", "family" : "Huijbregts", "given" : "Mark A. J.", "non-dropping-particle" : "", "parse-names" : false, "suffix" : "" } ], "collection-title" : "Eco-Efficiency in Industry and Science", "container-title" : "Operational Guide to the ISO Standards", "editor" : [ { "dropping-particle" : "", "family" : "Guinee", "given" : "Jeroen B.", "non-dropping-particle" : "", "parse-names" : false, "suffix" : "" }, { "dropping-particle" : "", "family" : "Gorree", "given" : "Marieke", "non-dropping-particle" : "", "parse-names" : false, "suffix" : "" }, { "dropping-particle" : "", "family" : "Heijungs", "given" : "Reinout", "non-dropping-particle" : "", "parse-names" : false, "suffix" : "" }, { "dropping-particle" : "", "family" : "Huppes", "given" : "Gjalt", "non-dropping-particle" : "", "parse-names" : false, "suffix" : "" }, { "dropping-particle" : "", "family" : "Kleijn", "given" : "Ren\u00e9e", "non-dropping-particle" : "", "parse-names" : false, "suffix" : "" }, { "dropping-particle" : "", "family" : "Koning", "given" : "Arjan", "non-dropping-particle" : "de", "parse-names" : false, "suffix" : "" }, { "dropping-particle" : "", "family" : "Oers", "given" : "Lauran", "non-dropping-particle" : "van", "parse-names" : false, "suffix" : "" }, { "dropping-particle" : "", "family" : "Wegener Sleeswijk", "given" : "Anneke", "non-dropping-particle" : "", "parse-names" : false, "suffix" : "" }, { "dropping-particle" : "", "family" : "Suh", "given" : "Sangwon", "non-dropping-particle" : "", "parse-names" : false, "suffix" : "" }, { "dropping-particle" : "", "family" : "Udo de Haes", "given" : "Helias A.", "non-dropping-particle" : "", "parse-names" : false, "suffix" : "" } ], "id" : "ITEM-1", "issued" : { "date-parts" : [ [ "2002" ] ] }, "number-of-pages" : "687", "publisher" : "Springer Netherlands", "publisher-place" : "Dordrecht", "title" : "Handbook on Life Cycle Assessment", "type" : "book", "volume" : "7" }, "uris" : [ "http://www.mendeley.com/documents/?uuid=3655fcdb-dd20-4240-a6c0-89d200aae7d9" ] }, { "id" : "ITEM-2", "itemData" : { "DOI" : "10.1007/BF02978505", "ISSN" : "0948-3349", "abstract" : "The new IMPACT 2002+ life cycle impact assessment methodology proposes a feasible implementation of a combined midpoint/damage approach, linking all types of life cycle inventory results (elementary flows and other interventions) via 14 midpoint categories to four damage categories. For IMPACT 2002+, new concepts and methods have been developed, especially for the comparative assessment of human toxicity and ecotoxicity. Human Damage Factors are calculated for carcinogens and non-carcinogens, employing intake fractions, best estimates of dose-response slope factors, as well as severities. The transfer of contaminants into the human food is no more based on consumption surveys, but accounts for agricultural and livestock production levels. Indoor and outdoor air emissions can be compared and the intermittent character of rainfall is considered. Both human toxicity and ecotoxicity effect factors are based on mean responses rather than on conservative assumptions. Other midpoint categories are adapted from existing characterizing methods (Eco-indicator 99 and CML 2002). All midpoint scores are expressed in units of a reference substance and related to the four damage categories human health, ecosystem quality, climate change, and resources. Normalization can be performed either at midpoint or at damage level. The IMPACT 2002+ method presently provides characterization factors for almost 1500 different LCI-results, which can be downloaded at http://www.epfl.ch/impact", "author" : [ { "dropping-particle" : "", "family" : "Jolliet", "given" : "Olivier", "non-dropping-particle" : "", "parse-names" : false, "suffix" : "" }, { "dropping-particle" : "", "family" : "Margni", "given" : "Manuele", "non-dropping-particle" : "", "parse-names" : false, "suffix" : "" }, { "dropping-particle" : "", "family" : "Charles", "given" : "Rapha\u00ebl", "non-dropping-particle" : "", "parse-names" : false, "suffix" : "" }, { "dropping-particle" : "", "family" : "Humbert", "given" : "S\u00e9bastien", "non-dropping-particle" : "", "parse-names" : false, "suffix" : "" }, { "dropping-particle" : "", "family" : "Payet", "given" : "J\u00e9r\u00f4me", "non-dropping-particle" : "", "parse-names" : false, "suffix" : "" }, { "dropping-particle" : "", "family" : "Rebitzer", "given" : "Gerald", "non-dropping-particle" : "", "parse-names" : false, "suffix" : "" }, { "dropping-particle" : "", "family" : "Rosenbaum", "given" : "Ralph", "non-dropping-particle" : "", "parse-names" : false, "suffix" : "" } ], "container-title" : "The International Journal of Life Cycle Assessment", "id" : "ITEM-2", "issue" : "6", "issued" : { "date-parts" : [ [ "2003", "11" ] ] }, "page" : "324-330", "title" : "IMPACT 2002+: A new life cycle impact assessment methodology", "type" : "article-journal", "volume" : "8" }, "uris" : [ "http://www.mendeley.com/documents/?uuid=13f0e642-6cb8-4746-b4f6-8a9c8bec1233" ] } ], "mendeley" : { "formattedCitation" : "&lt;sup&gt;48,52&lt;/sup&gt;", "plainTextFormattedCitation" : "48,52", "previouslyFormattedCitation" : "&lt;sup&gt;48,52&lt;/sup&gt;" }, "properties" : {  }, "schema" : "https://github.com/citation-style-language/schema/raw/master/csl-citation.json" }</w:instrText>
      </w:r>
      <w:r w:rsidR="0099656C" w:rsidRPr="001B5503">
        <w:fldChar w:fldCharType="separate"/>
      </w:r>
      <w:r w:rsidR="00D67546" w:rsidRPr="00D67546">
        <w:rPr>
          <w:noProof/>
          <w:vertAlign w:val="superscript"/>
        </w:rPr>
        <w:t>48,52</w:t>
      </w:r>
      <w:r w:rsidR="0099656C" w:rsidRPr="001B5503">
        <w:fldChar w:fldCharType="end"/>
      </w:r>
      <w:r w:rsidR="007B5C4E">
        <w:t xml:space="preserve"> </w:t>
      </w:r>
      <w:r w:rsidR="000D1D00" w:rsidRPr="001B5503">
        <w:t>These categories are Abioti</w:t>
      </w:r>
      <w:r w:rsidR="005A6357" w:rsidRPr="001B5503">
        <w:t xml:space="preserve">c depletion (ADP), Abiotic depletion </w:t>
      </w:r>
      <w:r w:rsidR="000D1D00" w:rsidRPr="001B5503">
        <w:t>fossil fuels</w:t>
      </w:r>
      <w:r w:rsidR="005A6357" w:rsidRPr="001B5503">
        <w:t xml:space="preserve"> (ADPF)</w:t>
      </w:r>
      <w:r w:rsidR="000D1D00" w:rsidRPr="001B5503">
        <w:t>, Global warming</w:t>
      </w:r>
      <w:r w:rsidR="005A6357" w:rsidRPr="001B5503">
        <w:t xml:space="preserve"> (GWP)</w:t>
      </w:r>
      <w:r w:rsidR="000D1D00" w:rsidRPr="001B5503">
        <w:t>, Ozone layer depletion</w:t>
      </w:r>
      <w:r w:rsidR="005A6357" w:rsidRPr="001B5503">
        <w:t xml:space="preserve"> (ODP)</w:t>
      </w:r>
      <w:r w:rsidR="000D1D00" w:rsidRPr="001B5503">
        <w:t>, Photochemical oxidation</w:t>
      </w:r>
      <w:r w:rsidR="005A6357" w:rsidRPr="001B5503">
        <w:t xml:space="preserve"> (POP)</w:t>
      </w:r>
      <w:r w:rsidR="000D1D00" w:rsidRPr="001B5503">
        <w:t xml:space="preserve">, </w:t>
      </w:r>
      <w:r w:rsidR="0015287F" w:rsidRPr="001B5503">
        <w:t xml:space="preserve">Acidification </w:t>
      </w:r>
      <w:r w:rsidR="005A6357" w:rsidRPr="001B5503">
        <w:t xml:space="preserve">(AP) </w:t>
      </w:r>
      <w:r w:rsidR="0015287F" w:rsidRPr="001B5503">
        <w:t>and Eutrophication</w:t>
      </w:r>
      <w:r w:rsidR="005A6357" w:rsidRPr="001B5503">
        <w:t xml:space="preserve"> (EP)</w:t>
      </w:r>
      <w:r w:rsidR="0015287F" w:rsidRPr="001B5503">
        <w:t>. From these categories, one of the most significant for measuring the environmental performance of a solar energy collector device is Global warming, as one of the main benefits of energy stemming from such devices is the mitigation of greenhouse effect.</w:t>
      </w:r>
      <w:r w:rsidR="007B5C4E">
        <w:t xml:space="preserve"> </w:t>
      </w:r>
      <w:r w:rsidR="00BD281D" w:rsidRPr="001B5503">
        <w:t>Nonetheless, t</w:t>
      </w:r>
      <w:r w:rsidR="001C3289" w:rsidRPr="001B5503">
        <w:t xml:space="preserve">he other categories enlisted represent </w:t>
      </w:r>
      <w:r w:rsidR="00736010" w:rsidRPr="001B5503">
        <w:t>a broad panoply</w:t>
      </w:r>
      <w:r w:rsidR="007B5C4E">
        <w:t xml:space="preserve"> </w:t>
      </w:r>
      <w:r w:rsidR="006E6F33" w:rsidRPr="001B5503">
        <w:t xml:space="preserve">of the most concerning categories which </w:t>
      </w:r>
      <w:r w:rsidR="00383EFD" w:rsidRPr="001B5503">
        <w:t>must</w:t>
      </w:r>
      <w:r w:rsidR="006E6F33" w:rsidRPr="001B5503">
        <w:t xml:space="preserve"> be taken into consideration in order to avoid environmental charge transference, from Global warming category to these categories.</w:t>
      </w:r>
    </w:p>
    <w:p w14:paraId="32944F7F" w14:textId="77777777" w:rsidR="00925737" w:rsidRPr="001B5503" w:rsidRDefault="00AC3DEF" w:rsidP="00987726">
      <w:r w:rsidRPr="001B5503">
        <w:t>Additionally</w:t>
      </w:r>
      <w:r w:rsidR="00736010" w:rsidRPr="001B5503">
        <w:t xml:space="preserve">, four determining categories were chosen. From the </w:t>
      </w:r>
      <w:r w:rsidR="00BD281D" w:rsidRPr="001B5503">
        <w:t>Cumulative energy demand method</w:t>
      </w:r>
      <w:r w:rsidR="00421286" w:rsidRPr="001B5503">
        <w:t>(CED)</w:t>
      </w:r>
      <w:r w:rsidR="001D0E61" w:rsidRPr="001B5503">
        <w:t>,</w:t>
      </w:r>
      <w:r w:rsidR="0099656C" w:rsidRPr="001B5503">
        <w:fldChar w:fldCharType="begin" w:fldLock="1"/>
      </w:r>
      <w:r w:rsidR="00D67546">
        <w:instrText>ADDIN CSL_CITATION { "citationItems" : [ { "id" : "ITEM-1", "itemData" : { "DOI" : "10.1065/lca2004.10.181.1", "ISSN" : "0948-3349", "author" : [ { "dropping-particle" : "", "family" : "Frischknecht", "given" : "Rolf", "non-dropping-particle" : "", "parse-names" : false, "suffix" : "" }, { "dropping-particle" : "", "family" : "Jungbluth", "given" : "Niels", "non-dropping-particle" : "", "parse-names" : false, "suffix" : "" }, { "dropping-particle" : "", "family" : "Althaus", "given" : "Hans-J\u00f6rg", "non-dropping-particle" : "", "parse-names" : false, "suffix" : "" }, { "dropping-particle" : "", "family" : "Doka", "given" : "Gabor", "non-dropping-particle" : "", "parse-names" : false, "suffix" : "" }, { "dropping-particle" : "", "family" : "Dones", "given" : "Roberto", "non-dropping-particle" : "", "parse-names" : false, "suffix" : "" }, { "dropping-particle" : "", "family" : "Heck", "given" : "Thomas", "non-dropping-particle" : "", "parse-names" : false, "suffix" : "" }, { "dropping-particle" : "", "family" : "Hellweg", "given" : "Stefanie", "non-dropping-particle" : "", "parse-names" : false, "suffix" : "" }, { "dropping-particle" : "", "family" : "Hischier", "given" : "Roland", "non-dropping-particle" : "", "parse-names" : false, "suffix" : "" }, { "dropping-particle" : "", "family" : "Nemecek", "given" : "Thomas", "non-dropping-particle" : "", "parse-names" : false, "suffix" : "" }, { "dropping-particle" : "", "family" : "Rebitzer", "given" : "Gerald", "non-dropping-particle" : "", "parse-names" : false, "suffix" : "" }, { "dropping-particle" : "", "family" : "Spielmann", "given" : "Michael", "non-dropping-particle" : "", "parse-names" : false, "suffix" : "" } ], "container-title" : "The International Journal of Life Cycle Assessment", "id" : "ITEM-1", "issue" : "1", "issued" : { "date-parts" : [ [ "2004" ] ] }, "language" : "English", "page" : "3-9", "publisher" : "Ecomed", "title" : "The ecoinvent Database: Overview and Methodological Framework (7 pp)", "type" : "article-journal", "volume" : "10" }, "uris" : [ "http://www.mendeley.com/documents/?uuid=eef888fc-08c6-403c-b8a6-625951812eb2" ] } ], "mendeley" : { "formattedCitation" : "&lt;sup&gt;53&lt;/sup&gt;", "plainTextFormattedCitation" : "53", "previouslyFormattedCitation" : "&lt;sup&gt;53&lt;/sup&gt;" }, "properties" : {  }, "schema" : "https://github.com/citation-style-language/schema/raw/master/csl-citation.json" }</w:instrText>
      </w:r>
      <w:r w:rsidR="0099656C" w:rsidRPr="001B5503">
        <w:fldChar w:fldCharType="separate"/>
      </w:r>
      <w:r w:rsidR="00D67546" w:rsidRPr="00D67546">
        <w:rPr>
          <w:noProof/>
          <w:vertAlign w:val="superscript"/>
        </w:rPr>
        <w:t>53</w:t>
      </w:r>
      <w:r w:rsidR="0099656C" w:rsidRPr="001B5503">
        <w:fldChar w:fldCharType="end"/>
      </w:r>
      <w:r w:rsidR="00BD281D" w:rsidRPr="001B5503">
        <w:t xml:space="preserve"> the total cradle-to-gate energy invested in the perovskite layer is obtained</w:t>
      </w:r>
      <w:r w:rsidRPr="001B5503">
        <w:t xml:space="preserve"> by adding cumulative energies obtained from sources renewable and non-renewable</w:t>
      </w:r>
      <w:r w:rsidR="00BD281D" w:rsidRPr="001B5503">
        <w:t xml:space="preserve">. This category allows </w:t>
      </w:r>
      <w:r w:rsidR="00DB7C7D" w:rsidRPr="001B5503">
        <w:t>contrasting</w:t>
      </w:r>
      <w:r w:rsidR="007B5C4E">
        <w:t xml:space="preserve"> </w:t>
      </w:r>
      <w:r w:rsidR="00DB7C7D" w:rsidRPr="001B5503">
        <w:t>the energy invested to produce it with the energy obtained from it.</w:t>
      </w:r>
      <w:r w:rsidR="00BD281D" w:rsidRPr="001B5503">
        <w:t xml:space="preserve"> Owing to the concerning content of lead in PSCs, it is necessary to </w:t>
      </w:r>
      <w:r w:rsidR="00DB7C7D" w:rsidRPr="001B5503">
        <w:t>introduce into the assessment the im</w:t>
      </w:r>
      <w:r w:rsidR="005A6357" w:rsidRPr="001B5503">
        <w:t xml:space="preserve">pact categories Human toxicity </w:t>
      </w:r>
      <w:r w:rsidR="00DB7C7D" w:rsidRPr="001B5503">
        <w:t>cancer</w:t>
      </w:r>
      <w:r w:rsidR="005A6357" w:rsidRPr="001B5503">
        <w:t xml:space="preserve"> (HTC), Human toxicity </w:t>
      </w:r>
      <w:r w:rsidR="00DB7C7D" w:rsidRPr="001B5503">
        <w:t>non-cancer</w:t>
      </w:r>
      <w:r w:rsidR="005A6357" w:rsidRPr="001B5503">
        <w:t xml:space="preserve"> (HTNC</w:t>
      </w:r>
      <w:r w:rsidR="00DB7C7D" w:rsidRPr="001B5503">
        <w:t xml:space="preserve">) and </w:t>
      </w:r>
      <w:r w:rsidR="00030589" w:rsidRPr="001B5503">
        <w:t>Freshwater e</w:t>
      </w:r>
      <w:r w:rsidR="00DB7C7D" w:rsidRPr="001B5503">
        <w:t>cotoxicity</w:t>
      </w:r>
      <w:r w:rsidR="007B5C4E">
        <w:t xml:space="preserve"> </w:t>
      </w:r>
      <w:r w:rsidR="005A6357" w:rsidRPr="001B5503">
        <w:t xml:space="preserve">(FET) </w:t>
      </w:r>
      <w:r w:rsidR="00DB7C7D" w:rsidRPr="001B5503">
        <w:t>from USEtox V1.04 method</w:t>
      </w:r>
      <w:r w:rsidR="001D0E61" w:rsidRPr="001B5503">
        <w:t>.</w:t>
      </w:r>
      <w:r w:rsidR="0099656C" w:rsidRPr="001B5503">
        <w:fldChar w:fldCharType="begin" w:fldLock="1"/>
      </w:r>
      <w:r w:rsidR="00D67546">
        <w:instrText>ADDIN CSL_CITATION { "citationItems" : [ { "id" : "ITEM-1", "itemData" : { "DOI" : "10.1007/s11367-008-0038-4", "ISSN" : "0948-3349", "abstract" : "Background, aim and scope In 2005, a comprehensive comparison of life cycle impact assessment toxicity characterisation models was initiated by the United Nations Environment Program (UNEP)\u2013Society for Environmental Toxicology and Chemistry (SETAC) Life Cycle Initiative, directly involving the model developers of CalTOX, IMPACT 2002, USES-LCA, BETR, EDIP, WATSON and EcoSense. In this paper, we describe this model comparison process and its results\u2014in particular the scientific consensus model developed by the model developers. The main objectives of this effort were (1) to identify specific sources of differences between the models\u2019 results and structure, (2) to detect the indispensable model components and (3) to build a scientific consensus model from them, representing recommended practice. Materials and methods A chemical test set of 45 organics covering a wide range of property combinations was selected for this purpose. All models used this set. In three workshops, the model comparison participants identified key fate, exposure and effect issues via comparison of the final characterisation factors and selected intermediate outputs for fate, human exposure and toxic effects for the test set applied to all models. Results Through this process, we were able to reduce inter-model variation from an initial range of up to 13 orders of magnitude down to no more than two orders of magnitude for any substance. This led to the development of USEtox, a scientific consensus model that contains only the most influential model elements. These were, for example, process formulations accounting for intermittent rain, defining a closed or open system environment or nesting an urban box in a continental box. Discussion The precision of the new characterisation factors (CFs) is within a factor of 100\u20131,000 for human health and 10\u2013100 for freshwater ecotoxicity of all other models compared to 12 orders of magnitude variation between the CFs of each model, respectively. The achieved reduction of inter-model variability by up to 11 orders of magnitude is a significant improvement. Conclusions USEtox provides a parsimonious and transparent tool for human health and ecosystem CF estimates. Based on a referenced database, it has now been used to calculate CFs for several thousand substances and forms the basis of the recommendations from UNEP-SETAC\u2019s Life Cycle Initiative regarding characterisation of toxic impacts in life cycle assessment. Recommendations and perspectives\u2026", "author" : [ { "dropping-particle" : "", "family" : "Rosenbaum", "given" : "Ralph K.", "non-dropping-particle" : "", "parse-names" : false, "suffix" : "" }, { "dropping-particle" : "", "family" : "Bachmann", "given" : "Till M.", "non-dropping-particle" : "", "parse-names" : false, "suffix" : "" }, { "dropping-particle" : "", "family" : "Gold", "given" : "Lois Swirsky", "non-dropping-particle" : "", "parse-names" : false, "suffix" : "" }, { "dropping-particle" : "", "family" : "Huijbregts", "given" : "Mark A. J.", "non-dropping-particle" : "", "parse-names" : false, "suffix" : "" }, { "dropping-particle" : "", "family" : "Jolliet", "given" : "Olivier", "non-dropping-particle" : "", "parse-names" : false, "suffix" : "" }, { "dropping-particle" : "", "family" : "Juraske", "given" : "Ronnie", "non-dropping-particle" : "", "parse-names" : false, "suffix" : "" }, { "dropping-particle" : "", "family" : "Koehler", "given" : "Annette", "non-dropping-particle" : "", "parse-names" : false, "suffix" : "" }, { "dropping-particle" : "", "family" : "Larsen", "given" : "Henrik F.", "non-dropping-particle" : "", "parse-names" : false, "suffix" : "" }, { "dropping-particle" : "", "family" : "MacLeod", "given" : "Matthew", "non-dropping-particle" : "", "parse-names" : false, "suffix" : "" }, { "dropping-particle" : "", "family" : "Margni", "given" : "Manuele", "non-dropping-particle" : "", "parse-names" : false, "suffix" : "" }, { "dropping-particle" : "", "family" : "McKone", "given" : "Thomas E.", "non-dropping-particle" : "", "parse-names" : false, "suffix" : "" }, { "dropping-particle" : "", "family" : "Payet", "given" : "J\u00e9r\u00f4me", "non-dropping-particle" : "", "parse-names" : false, "suffix" : "" }, { "dropping-particle" : "", "family" : "Schuhmacher", "given" : "Marta", "non-dropping-particle" : "", "parse-names" : false, "suffix" : "" }, { "dropping-particle" : "", "family" : "Meent", "given" : "Dik", "non-dropping-particle" : "van de", "parse-names" : false, "suffix" : "" }, { "dropping-particle" : "", "family" : "Hauschild", "given" : "Michael Z.", "non-dropping-particle" : "", "parse-names" : false, "suffix" : "" } ], "container-title" : "The International Journal of Life Cycle Assessment", "id" : "ITEM-1", "issue" : "7", "issued" : { "date-parts" : [ [ "2008", "11", "22" ] ] }, "language" : "English", "page" : "532-546", "publisher" : "Springer-Verlag", "title" : "USEtox\u2014the UNEP-SETAC toxicity model: recommended characterisation factors for human toxicity and freshwater ecotoxicity in life cycle impact assessment", "type" : "article-journal", "volume" : "13" }, "uris" : [ "http://www.mendeley.com/documents/?uuid=0fa15079-23f3-443b-bd7b-c4bc17fd6734" ] } ], "mendeley" : { "formattedCitation" : "&lt;sup&gt;54&lt;/sup&gt;", "plainTextFormattedCitation" : "54", "previouslyFormattedCitation" : "&lt;sup&gt;54&lt;/sup&gt;" }, "properties" : {  }, "schema" : "https://github.com/citation-style-language/schema/raw/master/csl-citation.json" }</w:instrText>
      </w:r>
      <w:r w:rsidR="0099656C" w:rsidRPr="001B5503">
        <w:fldChar w:fldCharType="separate"/>
      </w:r>
      <w:r w:rsidR="00D67546" w:rsidRPr="00D67546">
        <w:rPr>
          <w:noProof/>
          <w:vertAlign w:val="superscript"/>
        </w:rPr>
        <w:t>54</w:t>
      </w:r>
      <w:r w:rsidR="0099656C" w:rsidRPr="001B5503">
        <w:fldChar w:fldCharType="end"/>
      </w:r>
    </w:p>
    <w:p w14:paraId="7EBA993E" w14:textId="77777777" w:rsidR="00E41C07" w:rsidRPr="001B5503" w:rsidRDefault="00E41C07" w:rsidP="00E41C07">
      <w:r w:rsidRPr="001B5503">
        <w:t>CML, CED and USEtox methods are incorporated within the SimaPro® 8.0.3.14 software</w:t>
      </w:r>
      <w:r w:rsidR="001D0E61" w:rsidRPr="001B5503">
        <w:t>.</w:t>
      </w:r>
      <w:r w:rsidR="0099656C" w:rsidRPr="001B5503">
        <w:fldChar w:fldCharType="begin" w:fldLock="1"/>
      </w:r>
      <w:r w:rsidR="00D67546">
        <w:instrText>ADDIN CSL_CITATION { "citationItems" : [ { "id" : "ITEM-1", "itemData" : { "author" : [ { "dropping-particle" : "", "family" : "Pr\u00e9 Sustainability", "given" : "", "non-dropping-particle" : "", "parse-names" : false, "suffix" : "" } ], "id" : "ITEM-1", "issued" : { "date-parts" : [ [ "2016" ] ] }, "title" : "SimaPro", "type" : "article" }, "uris" : [ "http://www.mendeley.com/documents/?uuid=1b594296-5a2e-46b8-9501-a4a2c3b54733" ] } ], "mendeley" : { "formattedCitation" : "&lt;sup&gt;55&lt;/sup&gt;", "plainTextFormattedCitation" : "55", "previouslyFormattedCitation" : "&lt;sup&gt;55&lt;/sup&gt;" }, "properties" : {  }, "schema" : "https://github.com/citation-style-language/schema/raw/master/csl-citation.json" }</w:instrText>
      </w:r>
      <w:r w:rsidR="0099656C" w:rsidRPr="001B5503">
        <w:fldChar w:fldCharType="separate"/>
      </w:r>
      <w:r w:rsidR="00D67546" w:rsidRPr="00D67546">
        <w:rPr>
          <w:noProof/>
          <w:vertAlign w:val="superscript"/>
        </w:rPr>
        <w:t>55</w:t>
      </w:r>
      <w:r w:rsidR="0099656C" w:rsidRPr="001B5503">
        <w:fldChar w:fldCharType="end"/>
      </w:r>
      <w:r w:rsidRPr="001B5503">
        <w:t xml:space="preserve"> In this manuscript, abbreviations</w:t>
      </w:r>
      <w:r w:rsidR="00E02AAD" w:rsidRPr="001B5503">
        <w:t xml:space="preserve"> listed in </w:t>
      </w:r>
      <w:r w:rsidR="0099656C" w:rsidRPr="001B5503">
        <w:fldChar w:fldCharType="begin"/>
      </w:r>
      <w:r w:rsidR="00E02AAD" w:rsidRPr="001B5503">
        <w:instrText xml:space="preserve"> REF _Ref473829755 \h </w:instrText>
      </w:r>
      <w:r w:rsidR="0099656C" w:rsidRPr="001B5503">
        <w:fldChar w:fldCharType="separate"/>
      </w:r>
      <w:r w:rsidR="003F1937" w:rsidRPr="001B5503">
        <w:t xml:space="preserve">Table </w:t>
      </w:r>
      <w:r w:rsidR="003F1937">
        <w:rPr>
          <w:noProof/>
        </w:rPr>
        <w:t>4</w:t>
      </w:r>
      <w:r w:rsidR="0099656C" w:rsidRPr="001B5503">
        <w:fldChar w:fldCharType="end"/>
      </w:r>
      <w:r w:rsidRPr="001B5503">
        <w:t xml:space="preserve"> are used to name</w:t>
      </w:r>
      <w:r w:rsidR="00EA3837" w:rsidRPr="001B5503">
        <w:t xml:space="preserve"> the selected impact categories</w:t>
      </w:r>
      <w:r w:rsidRPr="001B5503">
        <w:t>.</w:t>
      </w:r>
    </w:p>
    <w:p w14:paraId="5795E51F" w14:textId="77777777" w:rsidR="004A2452" w:rsidRPr="001B5503" w:rsidRDefault="004A2452" w:rsidP="00363920">
      <w:pPr>
        <w:pStyle w:val="Descripcin"/>
      </w:pPr>
      <w:bookmarkStart w:id="9" w:name="_Ref473829755"/>
      <w:r w:rsidRPr="001B5503">
        <w:lastRenderedPageBreak/>
        <w:t xml:space="preserve">Table </w:t>
      </w:r>
      <w:r w:rsidR="0099656C" w:rsidRPr="001B5503">
        <w:fldChar w:fldCharType="begin"/>
      </w:r>
      <w:r w:rsidR="003336A3" w:rsidRPr="001B5503">
        <w:instrText xml:space="preserve"> SEQ Table \* ARABIC </w:instrText>
      </w:r>
      <w:r w:rsidR="0099656C" w:rsidRPr="001B5503">
        <w:fldChar w:fldCharType="separate"/>
      </w:r>
      <w:r w:rsidR="001750EF">
        <w:rPr>
          <w:noProof/>
        </w:rPr>
        <w:t>4</w:t>
      </w:r>
      <w:r w:rsidR="0099656C" w:rsidRPr="001B5503">
        <w:fldChar w:fldCharType="end"/>
      </w:r>
      <w:bookmarkEnd w:id="9"/>
      <w:r w:rsidR="005A6357" w:rsidRPr="001B5503">
        <w:t>.</w:t>
      </w:r>
      <w:r w:rsidR="00E43EBA">
        <w:t xml:space="preserve"> </w:t>
      </w:r>
      <w:r w:rsidR="007362C0" w:rsidRPr="001B5503">
        <w:rPr>
          <w:b w:val="0"/>
        </w:rPr>
        <w:t>List of impact categories</w:t>
      </w:r>
      <w:r w:rsidR="00EA3837" w:rsidRPr="001B5503">
        <w:rPr>
          <w:b w:val="0"/>
        </w:rPr>
        <w:t>, their abbreviations,</w:t>
      </w:r>
      <w:r w:rsidR="007362C0" w:rsidRPr="001B5503">
        <w:rPr>
          <w:b w:val="0"/>
        </w:rPr>
        <w:t xml:space="preserve"> units</w:t>
      </w:r>
      <w:r w:rsidR="00EA3837" w:rsidRPr="001B5503">
        <w:rPr>
          <w:b w:val="0"/>
        </w:rPr>
        <w:t xml:space="preserve"> and methodologies in which they are included</w:t>
      </w:r>
      <w:r w:rsidR="00F4296A" w:rsidRPr="001B5503">
        <w:rPr>
          <w:b w:val="0"/>
        </w:rPr>
        <w:t>.</w:t>
      </w:r>
    </w:p>
    <w:tbl>
      <w:tblPr>
        <w:tblStyle w:val="Tablaconcuadrcula"/>
        <w:tblW w:w="0" w:type="auto"/>
        <w:tblLook w:val="04A0" w:firstRow="1" w:lastRow="0" w:firstColumn="1" w:lastColumn="0" w:noHBand="0" w:noVBand="1"/>
      </w:tblPr>
      <w:tblGrid>
        <w:gridCol w:w="2494"/>
        <w:gridCol w:w="1247"/>
        <w:gridCol w:w="1077"/>
        <w:gridCol w:w="2438"/>
      </w:tblGrid>
      <w:tr w:rsidR="00353ACB" w:rsidRPr="001B5503" w14:paraId="313854D5" w14:textId="77777777" w:rsidTr="003117A6">
        <w:tc>
          <w:tcPr>
            <w:tcW w:w="2494" w:type="dxa"/>
            <w:vAlign w:val="center"/>
          </w:tcPr>
          <w:p w14:paraId="2C83AB02" w14:textId="77777777" w:rsidR="004A2452" w:rsidRPr="001B5503" w:rsidRDefault="00EA3837" w:rsidP="003117A6">
            <w:pPr>
              <w:pStyle w:val="Taula"/>
              <w:jc w:val="left"/>
              <w:rPr>
                <w:b/>
              </w:rPr>
            </w:pPr>
            <w:r w:rsidRPr="001B5503">
              <w:rPr>
                <w:b/>
              </w:rPr>
              <w:t>Category</w:t>
            </w:r>
          </w:p>
        </w:tc>
        <w:tc>
          <w:tcPr>
            <w:tcW w:w="1247" w:type="dxa"/>
            <w:vAlign w:val="center"/>
          </w:tcPr>
          <w:p w14:paraId="52442FE9" w14:textId="77777777" w:rsidR="004A2452" w:rsidRPr="001B5503" w:rsidRDefault="004A2452" w:rsidP="003117A6">
            <w:pPr>
              <w:pStyle w:val="Taula"/>
              <w:jc w:val="left"/>
              <w:rPr>
                <w:b/>
              </w:rPr>
            </w:pPr>
            <w:r w:rsidRPr="001B5503">
              <w:rPr>
                <w:b/>
              </w:rPr>
              <w:t>Abbreviation</w:t>
            </w:r>
          </w:p>
        </w:tc>
        <w:tc>
          <w:tcPr>
            <w:tcW w:w="1077" w:type="dxa"/>
            <w:vAlign w:val="center"/>
          </w:tcPr>
          <w:p w14:paraId="1CEEE2BA" w14:textId="77777777" w:rsidR="004A2452" w:rsidRPr="001B5503" w:rsidRDefault="004A2452" w:rsidP="003117A6">
            <w:pPr>
              <w:pStyle w:val="Taula"/>
              <w:jc w:val="left"/>
              <w:rPr>
                <w:b/>
              </w:rPr>
            </w:pPr>
            <w:r w:rsidRPr="001B5503">
              <w:rPr>
                <w:b/>
              </w:rPr>
              <w:t>Unit</w:t>
            </w:r>
          </w:p>
        </w:tc>
        <w:tc>
          <w:tcPr>
            <w:tcW w:w="2438" w:type="dxa"/>
            <w:vAlign w:val="center"/>
          </w:tcPr>
          <w:p w14:paraId="137CAE53" w14:textId="77777777" w:rsidR="004A2452" w:rsidRPr="001B5503" w:rsidRDefault="004A2452" w:rsidP="003117A6">
            <w:pPr>
              <w:pStyle w:val="Taula"/>
              <w:jc w:val="left"/>
              <w:rPr>
                <w:b/>
              </w:rPr>
            </w:pPr>
            <w:r w:rsidRPr="001B5503">
              <w:rPr>
                <w:b/>
              </w:rPr>
              <w:t>Methodology</w:t>
            </w:r>
          </w:p>
        </w:tc>
      </w:tr>
      <w:tr w:rsidR="00353ACB" w:rsidRPr="001B5503" w14:paraId="0336711F" w14:textId="77777777" w:rsidTr="003117A6">
        <w:trPr>
          <w:trHeight w:val="283"/>
        </w:trPr>
        <w:tc>
          <w:tcPr>
            <w:tcW w:w="2494" w:type="dxa"/>
            <w:vAlign w:val="center"/>
          </w:tcPr>
          <w:p w14:paraId="591B4F70" w14:textId="77777777" w:rsidR="00CC6499" w:rsidRPr="001B5503" w:rsidRDefault="00CC6499" w:rsidP="003117A6">
            <w:pPr>
              <w:pStyle w:val="Taula"/>
              <w:jc w:val="left"/>
            </w:pPr>
            <w:r w:rsidRPr="001B5503">
              <w:t>Abiotic depletion</w:t>
            </w:r>
            <w:r w:rsidR="00641E21" w:rsidRPr="001B5503">
              <w:t xml:space="preserve"> potential</w:t>
            </w:r>
          </w:p>
        </w:tc>
        <w:tc>
          <w:tcPr>
            <w:tcW w:w="1247" w:type="dxa"/>
            <w:vAlign w:val="center"/>
          </w:tcPr>
          <w:p w14:paraId="07C35049" w14:textId="77777777" w:rsidR="00CC6499" w:rsidRPr="001B5503" w:rsidRDefault="00CC6499" w:rsidP="003117A6">
            <w:pPr>
              <w:pStyle w:val="Taula"/>
              <w:jc w:val="left"/>
            </w:pPr>
            <w:r w:rsidRPr="001B5503">
              <w:t>ADP</w:t>
            </w:r>
          </w:p>
        </w:tc>
        <w:tc>
          <w:tcPr>
            <w:tcW w:w="1077" w:type="dxa"/>
            <w:vAlign w:val="center"/>
          </w:tcPr>
          <w:p w14:paraId="6AEBB6C4" w14:textId="77777777" w:rsidR="00CC6499" w:rsidRPr="001B5503" w:rsidRDefault="00CC6499" w:rsidP="003117A6">
            <w:pPr>
              <w:pStyle w:val="Taula"/>
              <w:jc w:val="left"/>
            </w:pPr>
            <w:r w:rsidRPr="001B5503">
              <w:t>kg Sb eq</w:t>
            </w:r>
          </w:p>
        </w:tc>
        <w:tc>
          <w:tcPr>
            <w:tcW w:w="2438" w:type="dxa"/>
            <w:vMerge w:val="restart"/>
            <w:vAlign w:val="center"/>
          </w:tcPr>
          <w:p w14:paraId="6FCF6A85" w14:textId="77777777" w:rsidR="00CC6499" w:rsidRPr="001B5503" w:rsidRDefault="00CC6499" w:rsidP="003117A6">
            <w:pPr>
              <w:pStyle w:val="Taula"/>
              <w:jc w:val="left"/>
            </w:pPr>
            <w:r w:rsidRPr="001B5503">
              <w:t>CML baseline V3.02</w:t>
            </w:r>
          </w:p>
        </w:tc>
      </w:tr>
      <w:tr w:rsidR="00353ACB" w:rsidRPr="001B5503" w14:paraId="190DB744" w14:textId="77777777" w:rsidTr="003117A6">
        <w:trPr>
          <w:trHeight w:val="283"/>
        </w:trPr>
        <w:tc>
          <w:tcPr>
            <w:tcW w:w="2494" w:type="dxa"/>
            <w:vAlign w:val="center"/>
          </w:tcPr>
          <w:p w14:paraId="5A9E6F07" w14:textId="77777777" w:rsidR="00CC6499" w:rsidRPr="001B5503" w:rsidRDefault="00CC6499" w:rsidP="003117A6">
            <w:pPr>
              <w:pStyle w:val="Taula"/>
              <w:jc w:val="left"/>
            </w:pPr>
            <w:r w:rsidRPr="001B5503">
              <w:t>Abiotic depletion</w:t>
            </w:r>
            <w:r w:rsidR="00641E21" w:rsidRPr="001B5503">
              <w:t xml:space="preserve"> potential</w:t>
            </w:r>
            <w:r w:rsidRPr="001B5503">
              <w:t>, fossil fuels</w:t>
            </w:r>
          </w:p>
        </w:tc>
        <w:tc>
          <w:tcPr>
            <w:tcW w:w="1247" w:type="dxa"/>
            <w:vAlign w:val="center"/>
          </w:tcPr>
          <w:p w14:paraId="0B16454D" w14:textId="77777777" w:rsidR="00CC6499" w:rsidRPr="001B5503" w:rsidRDefault="00CC6499" w:rsidP="003117A6">
            <w:pPr>
              <w:pStyle w:val="Taula"/>
              <w:jc w:val="left"/>
            </w:pPr>
            <w:r w:rsidRPr="001B5503">
              <w:t>ADPF</w:t>
            </w:r>
          </w:p>
        </w:tc>
        <w:tc>
          <w:tcPr>
            <w:tcW w:w="1077" w:type="dxa"/>
            <w:vAlign w:val="center"/>
          </w:tcPr>
          <w:p w14:paraId="706D58B6" w14:textId="77777777" w:rsidR="00CC6499" w:rsidRPr="001B5503" w:rsidRDefault="00CC6499" w:rsidP="003117A6">
            <w:pPr>
              <w:pStyle w:val="Taula"/>
              <w:jc w:val="left"/>
            </w:pPr>
            <w:r w:rsidRPr="001B5503">
              <w:t>MJ</w:t>
            </w:r>
          </w:p>
        </w:tc>
        <w:tc>
          <w:tcPr>
            <w:tcW w:w="2438" w:type="dxa"/>
            <w:vMerge/>
            <w:vAlign w:val="center"/>
          </w:tcPr>
          <w:p w14:paraId="2DF131BC" w14:textId="77777777" w:rsidR="00CC6499" w:rsidRPr="001B5503" w:rsidRDefault="00CC6499" w:rsidP="003117A6">
            <w:pPr>
              <w:pStyle w:val="Taula"/>
              <w:jc w:val="left"/>
            </w:pPr>
          </w:p>
        </w:tc>
      </w:tr>
      <w:tr w:rsidR="00353ACB" w:rsidRPr="001B5503" w14:paraId="6666E749" w14:textId="77777777" w:rsidTr="003117A6">
        <w:trPr>
          <w:trHeight w:val="283"/>
        </w:trPr>
        <w:tc>
          <w:tcPr>
            <w:tcW w:w="2494" w:type="dxa"/>
            <w:vAlign w:val="center"/>
          </w:tcPr>
          <w:p w14:paraId="3E3C677F" w14:textId="77777777" w:rsidR="00CC6499" w:rsidRPr="001B5503" w:rsidRDefault="00CC6499" w:rsidP="003117A6">
            <w:pPr>
              <w:pStyle w:val="Taula"/>
              <w:jc w:val="left"/>
            </w:pPr>
            <w:r w:rsidRPr="001B5503">
              <w:t>Climate change</w:t>
            </w:r>
            <w:r w:rsidR="00641E21" w:rsidRPr="001B5503">
              <w:t xml:space="preserve"> potential</w:t>
            </w:r>
          </w:p>
        </w:tc>
        <w:tc>
          <w:tcPr>
            <w:tcW w:w="1247" w:type="dxa"/>
            <w:vAlign w:val="center"/>
          </w:tcPr>
          <w:p w14:paraId="2E5B4B07" w14:textId="77777777" w:rsidR="00CC6499" w:rsidRPr="001B5503" w:rsidRDefault="00CC6499" w:rsidP="003117A6">
            <w:pPr>
              <w:pStyle w:val="Taula"/>
              <w:jc w:val="left"/>
            </w:pPr>
            <w:r w:rsidRPr="001B5503">
              <w:t>GWP</w:t>
            </w:r>
          </w:p>
        </w:tc>
        <w:tc>
          <w:tcPr>
            <w:tcW w:w="1077" w:type="dxa"/>
            <w:vAlign w:val="center"/>
          </w:tcPr>
          <w:p w14:paraId="7F5A27DA" w14:textId="77777777" w:rsidR="00CC6499" w:rsidRPr="001B5503" w:rsidRDefault="00CC6499" w:rsidP="003117A6">
            <w:pPr>
              <w:pStyle w:val="Taula"/>
              <w:jc w:val="left"/>
            </w:pPr>
            <w:r w:rsidRPr="001B5503">
              <w:t>kg CO</w:t>
            </w:r>
            <w:r w:rsidRPr="001B5503">
              <w:rPr>
                <w:vertAlign w:val="subscript"/>
              </w:rPr>
              <w:t>2</w:t>
            </w:r>
            <w:r w:rsidRPr="001B5503">
              <w:t>eq</w:t>
            </w:r>
          </w:p>
        </w:tc>
        <w:tc>
          <w:tcPr>
            <w:tcW w:w="2438" w:type="dxa"/>
            <w:vMerge/>
            <w:vAlign w:val="center"/>
          </w:tcPr>
          <w:p w14:paraId="40B7CE02" w14:textId="77777777" w:rsidR="00CC6499" w:rsidRPr="001B5503" w:rsidRDefault="00CC6499" w:rsidP="003117A6">
            <w:pPr>
              <w:pStyle w:val="Taula"/>
              <w:jc w:val="left"/>
            </w:pPr>
          </w:p>
        </w:tc>
      </w:tr>
      <w:tr w:rsidR="00353ACB" w:rsidRPr="001B5503" w14:paraId="764A09D0" w14:textId="77777777" w:rsidTr="003117A6">
        <w:trPr>
          <w:trHeight w:val="283"/>
        </w:trPr>
        <w:tc>
          <w:tcPr>
            <w:tcW w:w="2494" w:type="dxa"/>
            <w:vAlign w:val="center"/>
          </w:tcPr>
          <w:p w14:paraId="14C3BD14" w14:textId="77777777" w:rsidR="00CC6499" w:rsidRPr="001B5503" w:rsidRDefault="00CC6499" w:rsidP="003117A6">
            <w:pPr>
              <w:pStyle w:val="Taula"/>
              <w:jc w:val="left"/>
            </w:pPr>
            <w:r w:rsidRPr="001B5503">
              <w:t>Ozone layer depletion</w:t>
            </w:r>
            <w:r w:rsidR="00641E21" w:rsidRPr="001B5503">
              <w:t xml:space="preserve"> potential</w:t>
            </w:r>
          </w:p>
        </w:tc>
        <w:tc>
          <w:tcPr>
            <w:tcW w:w="1247" w:type="dxa"/>
            <w:vAlign w:val="center"/>
          </w:tcPr>
          <w:p w14:paraId="34396EC6" w14:textId="77777777" w:rsidR="00CC6499" w:rsidRPr="001B5503" w:rsidRDefault="00CC6499" w:rsidP="003117A6">
            <w:pPr>
              <w:pStyle w:val="Taula"/>
              <w:jc w:val="left"/>
            </w:pPr>
            <w:r w:rsidRPr="001B5503">
              <w:t>ODP</w:t>
            </w:r>
          </w:p>
        </w:tc>
        <w:tc>
          <w:tcPr>
            <w:tcW w:w="1077" w:type="dxa"/>
            <w:vAlign w:val="center"/>
          </w:tcPr>
          <w:p w14:paraId="1A5B78D9" w14:textId="77777777" w:rsidR="00CC6499" w:rsidRPr="001B5503" w:rsidRDefault="00CC6499" w:rsidP="003117A6">
            <w:pPr>
              <w:pStyle w:val="Taula"/>
              <w:jc w:val="left"/>
            </w:pPr>
            <w:r w:rsidRPr="001B5503">
              <w:t>kg CFC-11 eq</w:t>
            </w:r>
          </w:p>
        </w:tc>
        <w:tc>
          <w:tcPr>
            <w:tcW w:w="2438" w:type="dxa"/>
            <w:vMerge/>
            <w:vAlign w:val="center"/>
          </w:tcPr>
          <w:p w14:paraId="4237EB48" w14:textId="77777777" w:rsidR="00CC6499" w:rsidRPr="001B5503" w:rsidRDefault="00CC6499" w:rsidP="003117A6">
            <w:pPr>
              <w:pStyle w:val="Taula"/>
              <w:jc w:val="left"/>
            </w:pPr>
          </w:p>
        </w:tc>
      </w:tr>
      <w:tr w:rsidR="00353ACB" w:rsidRPr="001B5503" w14:paraId="420C17C5" w14:textId="77777777" w:rsidTr="003117A6">
        <w:trPr>
          <w:trHeight w:val="283"/>
        </w:trPr>
        <w:tc>
          <w:tcPr>
            <w:tcW w:w="2494" w:type="dxa"/>
            <w:vAlign w:val="center"/>
          </w:tcPr>
          <w:p w14:paraId="1167568B" w14:textId="77777777" w:rsidR="00CC6499" w:rsidRPr="001B5503" w:rsidRDefault="00CC6499" w:rsidP="003117A6">
            <w:pPr>
              <w:pStyle w:val="Taula"/>
              <w:jc w:val="left"/>
            </w:pPr>
            <w:r w:rsidRPr="001B5503">
              <w:t>Photochemical oxidation</w:t>
            </w:r>
            <w:r w:rsidR="00641E21" w:rsidRPr="001B5503">
              <w:t xml:space="preserve"> potential</w:t>
            </w:r>
          </w:p>
        </w:tc>
        <w:tc>
          <w:tcPr>
            <w:tcW w:w="1247" w:type="dxa"/>
            <w:vAlign w:val="center"/>
          </w:tcPr>
          <w:p w14:paraId="446FCE37" w14:textId="77777777" w:rsidR="00CC6499" w:rsidRPr="001B5503" w:rsidRDefault="00CC6499" w:rsidP="003117A6">
            <w:pPr>
              <w:pStyle w:val="Taula"/>
              <w:jc w:val="left"/>
            </w:pPr>
            <w:r w:rsidRPr="001B5503">
              <w:t>POP</w:t>
            </w:r>
          </w:p>
        </w:tc>
        <w:tc>
          <w:tcPr>
            <w:tcW w:w="1077" w:type="dxa"/>
            <w:vAlign w:val="center"/>
          </w:tcPr>
          <w:p w14:paraId="1046E4E8" w14:textId="77777777" w:rsidR="00CC6499" w:rsidRPr="001B5503" w:rsidRDefault="00CC6499" w:rsidP="003117A6">
            <w:pPr>
              <w:pStyle w:val="Taula"/>
              <w:jc w:val="left"/>
            </w:pPr>
            <w:r w:rsidRPr="001B5503">
              <w:t>kg C</w:t>
            </w:r>
            <w:r w:rsidRPr="001B5503">
              <w:rPr>
                <w:vertAlign w:val="subscript"/>
              </w:rPr>
              <w:t>2</w:t>
            </w:r>
            <w:r w:rsidRPr="001B5503">
              <w:t>H</w:t>
            </w:r>
            <w:r w:rsidRPr="001B5503">
              <w:rPr>
                <w:vertAlign w:val="subscript"/>
              </w:rPr>
              <w:t>4</w:t>
            </w:r>
            <w:r w:rsidRPr="001B5503">
              <w:t>eq</w:t>
            </w:r>
          </w:p>
        </w:tc>
        <w:tc>
          <w:tcPr>
            <w:tcW w:w="2438" w:type="dxa"/>
            <w:vMerge/>
            <w:vAlign w:val="center"/>
          </w:tcPr>
          <w:p w14:paraId="0AC8525B" w14:textId="77777777" w:rsidR="00CC6499" w:rsidRPr="001B5503" w:rsidRDefault="00CC6499" w:rsidP="003117A6">
            <w:pPr>
              <w:pStyle w:val="Taula"/>
              <w:jc w:val="left"/>
            </w:pPr>
          </w:p>
        </w:tc>
      </w:tr>
      <w:tr w:rsidR="00353ACB" w:rsidRPr="001B5503" w14:paraId="39DC1BC9" w14:textId="77777777" w:rsidTr="003117A6">
        <w:trPr>
          <w:trHeight w:val="283"/>
        </w:trPr>
        <w:tc>
          <w:tcPr>
            <w:tcW w:w="2494" w:type="dxa"/>
            <w:vAlign w:val="center"/>
          </w:tcPr>
          <w:p w14:paraId="64F8A892" w14:textId="77777777" w:rsidR="00CC6499" w:rsidRPr="001B5503" w:rsidRDefault="00CC6499" w:rsidP="003117A6">
            <w:pPr>
              <w:pStyle w:val="Taula"/>
              <w:jc w:val="left"/>
            </w:pPr>
            <w:r w:rsidRPr="001B5503">
              <w:t>Acidification</w:t>
            </w:r>
            <w:r w:rsidR="00641E21" w:rsidRPr="001B5503">
              <w:t xml:space="preserve"> potential</w:t>
            </w:r>
          </w:p>
        </w:tc>
        <w:tc>
          <w:tcPr>
            <w:tcW w:w="1247" w:type="dxa"/>
            <w:vAlign w:val="center"/>
          </w:tcPr>
          <w:p w14:paraId="3267D83C" w14:textId="77777777" w:rsidR="00CC6499" w:rsidRPr="001B5503" w:rsidRDefault="00CC6499" w:rsidP="003117A6">
            <w:pPr>
              <w:pStyle w:val="Taula"/>
              <w:jc w:val="left"/>
            </w:pPr>
            <w:r w:rsidRPr="001B5503">
              <w:t>AP</w:t>
            </w:r>
          </w:p>
        </w:tc>
        <w:tc>
          <w:tcPr>
            <w:tcW w:w="1077" w:type="dxa"/>
            <w:vAlign w:val="center"/>
          </w:tcPr>
          <w:p w14:paraId="54DF3E8D" w14:textId="77777777" w:rsidR="00CC6499" w:rsidRPr="001B5503" w:rsidRDefault="00CC6499" w:rsidP="003117A6">
            <w:pPr>
              <w:pStyle w:val="Taula"/>
              <w:jc w:val="left"/>
            </w:pPr>
            <w:r w:rsidRPr="001B5503">
              <w:t>kg SO</w:t>
            </w:r>
            <w:r w:rsidRPr="001B5503">
              <w:rPr>
                <w:vertAlign w:val="subscript"/>
              </w:rPr>
              <w:t>2</w:t>
            </w:r>
            <w:r w:rsidRPr="001B5503">
              <w:t>eq</w:t>
            </w:r>
          </w:p>
        </w:tc>
        <w:tc>
          <w:tcPr>
            <w:tcW w:w="2438" w:type="dxa"/>
            <w:vMerge/>
            <w:vAlign w:val="center"/>
          </w:tcPr>
          <w:p w14:paraId="136F8F60" w14:textId="77777777" w:rsidR="00CC6499" w:rsidRPr="001B5503" w:rsidRDefault="00CC6499" w:rsidP="003117A6">
            <w:pPr>
              <w:pStyle w:val="Taula"/>
              <w:jc w:val="left"/>
            </w:pPr>
          </w:p>
        </w:tc>
      </w:tr>
      <w:tr w:rsidR="00353ACB" w:rsidRPr="001B5503" w14:paraId="4C5F0062" w14:textId="77777777" w:rsidTr="003117A6">
        <w:trPr>
          <w:trHeight w:val="283"/>
        </w:trPr>
        <w:tc>
          <w:tcPr>
            <w:tcW w:w="2494" w:type="dxa"/>
            <w:vAlign w:val="center"/>
          </w:tcPr>
          <w:p w14:paraId="4C22B38D" w14:textId="77777777" w:rsidR="00CC6499" w:rsidRPr="001B5503" w:rsidRDefault="00CC6499" w:rsidP="003117A6">
            <w:pPr>
              <w:pStyle w:val="Taula"/>
              <w:jc w:val="left"/>
            </w:pPr>
            <w:r w:rsidRPr="001B5503">
              <w:t>Eutrophication</w:t>
            </w:r>
            <w:r w:rsidR="00641E21" w:rsidRPr="001B5503">
              <w:t xml:space="preserve"> potential</w:t>
            </w:r>
          </w:p>
        </w:tc>
        <w:tc>
          <w:tcPr>
            <w:tcW w:w="1247" w:type="dxa"/>
            <w:vAlign w:val="center"/>
          </w:tcPr>
          <w:p w14:paraId="6A4F17A4" w14:textId="77777777" w:rsidR="00CC6499" w:rsidRPr="001B5503" w:rsidRDefault="00CC6499" w:rsidP="003117A6">
            <w:pPr>
              <w:pStyle w:val="Taula"/>
              <w:jc w:val="left"/>
            </w:pPr>
            <w:r w:rsidRPr="001B5503">
              <w:t>EP</w:t>
            </w:r>
          </w:p>
        </w:tc>
        <w:tc>
          <w:tcPr>
            <w:tcW w:w="1077" w:type="dxa"/>
            <w:vAlign w:val="center"/>
          </w:tcPr>
          <w:p w14:paraId="774ACC3C" w14:textId="77777777" w:rsidR="00CC6499" w:rsidRPr="001B5503" w:rsidRDefault="00CC6499" w:rsidP="003117A6">
            <w:pPr>
              <w:pStyle w:val="Taula"/>
              <w:jc w:val="left"/>
            </w:pPr>
            <w:r w:rsidRPr="001B5503">
              <w:t>kg PO</w:t>
            </w:r>
            <w:r w:rsidRPr="001B5503">
              <w:rPr>
                <w:vertAlign w:val="subscript"/>
              </w:rPr>
              <w:t>4</w:t>
            </w:r>
            <w:r w:rsidRPr="001B5503">
              <w:rPr>
                <w:vertAlign w:val="superscript"/>
              </w:rPr>
              <w:t>3-</w:t>
            </w:r>
            <w:r w:rsidRPr="001B5503">
              <w:t>eq</w:t>
            </w:r>
          </w:p>
        </w:tc>
        <w:tc>
          <w:tcPr>
            <w:tcW w:w="2438" w:type="dxa"/>
            <w:vMerge/>
            <w:vAlign w:val="center"/>
          </w:tcPr>
          <w:p w14:paraId="0B8A1BF3" w14:textId="77777777" w:rsidR="00CC6499" w:rsidRPr="001B5503" w:rsidRDefault="00CC6499" w:rsidP="003117A6">
            <w:pPr>
              <w:pStyle w:val="Taula"/>
              <w:jc w:val="left"/>
            </w:pPr>
          </w:p>
        </w:tc>
      </w:tr>
      <w:tr w:rsidR="00353ACB" w:rsidRPr="001B5503" w14:paraId="3A37C30F" w14:textId="77777777" w:rsidTr="003117A6">
        <w:trPr>
          <w:trHeight w:val="283"/>
        </w:trPr>
        <w:tc>
          <w:tcPr>
            <w:tcW w:w="2494" w:type="dxa"/>
            <w:vAlign w:val="center"/>
          </w:tcPr>
          <w:p w14:paraId="739E97E6" w14:textId="77777777" w:rsidR="00EA3837" w:rsidRPr="001B5503" w:rsidRDefault="00EA3837" w:rsidP="003117A6">
            <w:pPr>
              <w:pStyle w:val="Taula"/>
              <w:jc w:val="left"/>
            </w:pPr>
            <w:r w:rsidRPr="001B5503">
              <w:t>Cumulative energy demand</w:t>
            </w:r>
          </w:p>
        </w:tc>
        <w:tc>
          <w:tcPr>
            <w:tcW w:w="1247" w:type="dxa"/>
            <w:vAlign w:val="center"/>
          </w:tcPr>
          <w:p w14:paraId="26364CC4" w14:textId="77777777" w:rsidR="00EA3837" w:rsidRPr="001B5503" w:rsidRDefault="00EA3837" w:rsidP="003117A6">
            <w:pPr>
              <w:pStyle w:val="Taula"/>
              <w:jc w:val="left"/>
            </w:pPr>
            <w:r w:rsidRPr="001B5503">
              <w:t>CED</w:t>
            </w:r>
          </w:p>
        </w:tc>
        <w:tc>
          <w:tcPr>
            <w:tcW w:w="1077" w:type="dxa"/>
            <w:vAlign w:val="center"/>
          </w:tcPr>
          <w:p w14:paraId="0C2BB893" w14:textId="77777777" w:rsidR="00EA3837" w:rsidRPr="001B5503" w:rsidRDefault="00EA3837" w:rsidP="003117A6">
            <w:pPr>
              <w:pStyle w:val="Taula"/>
              <w:jc w:val="left"/>
            </w:pPr>
            <w:r w:rsidRPr="001B5503">
              <w:t>MJ</w:t>
            </w:r>
          </w:p>
        </w:tc>
        <w:tc>
          <w:tcPr>
            <w:tcW w:w="2438" w:type="dxa"/>
            <w:vAlign w:val="center"/>
          </w:tcPr>
          <w:p w14:paraId="045489D1" w14:textId="77777777" w:rsidR="00EA3837" w:rsidRPr="001B5503" w:rsidRDefault="00CC6499" w:rsidP="003117A6">
            <w:pPr>
              <w:pStyle w:val="Taula"/>
              <w:jc w:val="left"/>
            </w:pPr>
            <w:r w:rsidRPr="001B5503">
              <w:t>Cumulative energy demand V1.09</w:t>
            </w:r>
          </w:p>
        </w:tc>
      </w:tr>
      <w:tr w:rsidR="00353ACB" w:rsidRPr="001B5503" w14:paraId="3D825D9B" w14:textId="77777777" w:rsidTr="003117A6">
        <w:trPr>
          <w:trHeight w:val="283"/>
        </w:trPr>
        <w:tc>
          <w:tcPr>
            <w:tcW w:w="2494" w:type="dxa"/>
            <w:vAlign w:val="center"/>
          </w:tcPr>
          <w:p w14:paraId="0842EFC4" w14:textId="77777777" w:rsidR="00CC6499" w:rsidRPr="001B5503" w:rsidRDefault="00CC6499" w:rsidP="003117A6">
            <w:pPr>
              <w:pStyle w:val="Taula"/>
              <w:jc w:val="left"/>
            </w:pPr>
            <w:r w:rsidRPr="001B5503">
              <w:t>Human toxicity, cancer effects</w:t>
            </w:r>
          </w:p>
        </w:tc>
        <w:tc>
          <w:tcPr>
            <w:tcW w:w="1247" w:type="dxa"/>
            <w:vAlign w:val="center"/>
          </w:tcPr>
          <w:p w14:paraId="0AF4F977" w14:textId="77777777" w:rsidR="00CC6499" w:rsidRPr="001B5503" w:rsidRDefault="00CC6499" w:rsidP="003117A6">
            <w:pPr>
              <w:pStyle w:val="Taula"/>
              <w:jc w:val="left"/>
            </w:pPr>
            <w:r w:rsidRPr="001B5503">
              <w:t>HTC</w:t>
            </w:r>
          </w:p>
        </w:tc>
        <w:tc>
          <w:tcPr>
            <w:tcW w:w="1077" w:type="dxa"/>
            <w:vAlign w:val="center"/>
          </w:tcPr>
          <w:p w14:paraId="7312F3BD" w14:textId="77777777" w:rsidR="00CC6499" w:rsidRPr="001B5503" w:rsidRDefault="00CC6499" w:rsidP="003117A6">
            <w:pPr>
              <w:pStyle w:val="Taula"/>
              <w:jc w:val="left"/>
            </w:pPr>
            <w:r w:rsidRPr="001B5503">
              <w:t>CTUh</w:t>
            </w:r>
          </w:p>
        </w:tc>
        <w:tc>
          <w:tcPr>
            <w:tcW w:w="2438" w:type="dxa"/>
            <w:vMerge w:val="restart"/>
            <w:vAlign w:val="center"/>
          </w:tcPr>
          <w:p w14:paraId="391D8BA0" w14:textId="77777777" w:rsidR="00CC6499" w:rsidRPr="001B5503" w:rsidRDefault="00CC6499" w:rsidP="003117A6">
            <w:pPr>
              <w:pStyle w:val="Taula"/>
              <w:jc w:val="left"/>
            </w:pPr>
            <w:r w:rsidRPr="001B5503">
              <w:t>Usetox V1.04</w:t>
            </w:r>
          </w:p>
        </w:tc>
      </w:tr>
      <w:tr w:rsidR="00353ACB" w:rsidRPr="001B5503" w14:paraId="478B4463" w14:textId="77777777" w:rsidTr="003117A6">
        <w:trPr>
          <w:trHeight w:val="283"/>
        </w:trPr>
        <w:tc>
          <w:tcPr>
            <w:tcW w:w="2494" w:type="dxa"/>
            <w:vAlign w:val="center"/>
          </w:tcPr>
          <w:p w14:paraId="4D4DCD0A" w14:textId="77777777" w:rsidR="00CC6499" w:rsidRPr="001B5503" w:rsidRDefault="00CC6499" w:rsidP="003117A6">
            <w:pPr>
              <w:pStyle w:val="Taula"/>
              <w:jc w:val="left"/>
            </w:pPr>
            <w:r w:rsidRPr="001B5503">
              <w:t>Human toxicity, non-cancer effects</w:t>
            </w:r>
          </w:p>
        </w:tc>
        <w:tc>
          <w:tcPr>
            <w:tcW w:w="1247" w:type="dxa"/>
            <w:vAlign w:val="center"/>
          </w:tcPr>
          <w:p w14:paraId="3CBFC848" w14:textId="77777777" w:rsidR="00CC6499" w:rsidRPr="001B5503" w:rsidRDefault="00CC6499" w:rsidP="003117A6">
            <w:pPr>
              <w:pStyle w:val="Taula"/>
              <w:jc w:val="left"/>
            </w:pPr>
            <w:r w:rsidRPr="001B5503">
              <w:t>HTNC</w:t>
            </w:r>
          </w:p>
        </w:tc>
        <w:tc>
          <w:tcPr>
            <w:tcW w:w="1077" w:type="dxa"/>
            <w:vAlign w:val="center"/>
          </w:tcPr>
          <w:p w14:paraId="24734F38" w14:textId="77777777" w:rsidR="00CC6499" w:rsidRPr="001B5503" w:rsidRDefault="00CC6499" w:rsidP="003117A6">
            <w:pPr>
              <w:pStyle w:val="Taula"/>
              <w:jc w:val="left"/>
            </w:pPr>
            <w:r w:rsidRPr="001B5503">
              <w:t>CTUh</w:t>
            </w:r>
          </w:p>
        </w:tc>
        <w:tc>
          <w:tcPr>
            <w:tcW w:w="2438" w:type="dxa"/>
            <w:vMerge/>
          </w:tcPr>
          <w:p w14:paraId="76B2E1BF" w14:textId="77777777" w:rsidR="00CC6499" w:rsidRPr="001B5503" w:rsidRDefault="00CC6499" w:rsidP="00CC6499">
            <w:pPr>
              <w:pStyle w:val="Taula"/>
            </w:pPr>
          </w:p>
        </w:tc>
      </w:tr>
      <w:tr w:rsidR="00353ACB" w:rsidRPr="001B5503" w14:paraId="5DFB2604" w14:textId="77777777" w:rsidTr="003117A6">
        <w:trPr>
          <w:trHeight w:val="283"/>
        </w:trPr>
        <w:tc>
          <w:tcPr>
            <w:tcW w:w="2494" w:type="dxa"/>
            <w:vAlign w:val="center"/>
          </w:tcPr>
          <w:p w14:paraId="44CB684D" w14:textId="77777777" w:rsidR="00CC6499" w:rsidRPr="001B5503" w:rsidRDefault="00CC6499" w:rsidP="003117A6">
            <w:pPr>
              <w:pStyle w:val="Taula"/>
              <w:jc w:val="left"/>
            </w:pPr>
            <w:r w:rsidRPr="001B5503">
              <w:t>Freshwater ecotoxicity</w:t>
            </w:r>
          </w:p>
        </w:tc>
        <w:tc>
          <w:tcPr>
            <w:tcW w:w="1247" w:type="dxa"/>
            <w:vAlign w:val="center"/>
          </w:tcPr>
          <w:p w14:paraId="4A6D1FBF" w14:textId="77777777" w:rsidR="00CC6499" w:rsidRPr="001B5503" w:rsidRDefault="00CC6499" w:rsidP="003117A6">
            <w:pPr>
              <w:pStyle w:val="Taula"/>
              <w:jc w:val="left"/>
            </w:pPr>
            <w:r w:rsidRPr="001B5503">
              <w:t>FET</w:t>
            </w:r>
          </w:p>
        </w:tc>
        <w:tc>
          <w:tcPr>
            <w:tcW w:w="1077" w:type="dxa"/>
            <w:vAlign w:val="center"/>
          </w:tcPr>
          <w:p w14:paraId="5767D10E" w14:textId="77777777" w:rsidR="00CC6499" w:rsidRPr="001B5503" w:rsidRDefault="00CC6499" w:rsidP="003117A6">
            <w:pPr>
              <w:pStyle w:val="Taula"/>
              <w:jc w:val="left"/>
            </w:pPr>
            <w:r w:rsidRPr="001B5503">
              <w:t>CTUe</w:t>
            </w:r>
          </w:p>
        </w:tc>
        <w:tc>
          <w:tcPr>
            <w:tcW w:w="2438" w:type="dxa"/>
            <w:vMerge/>
          </w:tcPr>
          <w:p w14:paraId="44CBEACA" w14:textId="77777777" w:rsidR="00CC6499" w:rsidRPr="001B5503" w:rsidRDefault="00CC6499" w:rsidP="00CC6499">
            <w:pPr>
              <w:pStyle w:val="Taula"/>
            </w:pPr>
          </w:p>
        </w:tc>
      </w:tr>
    </w:tbl>
    <w:p w14:paraId="06EE511B" w14:textId="77777777" w:rsidR="004A2452" w:rsidRPr="001B5503" w:rsidRDefault="004A2452" w:rsidP="00CC6499">
      <w:pPr>
        <w:pStyle w:val="Taula"/>
      </w:pPr>
    </w:p>
    <w:p w14:paraId="7FAA30A0" w14:textId="77777777" w:rsidR="002567A1" w:rsidRPr="001B5503" w:rsidRDefault="00E16770" w:rsidP="00E16770">
      <w:pPr>
        <w:pStyle w:val="Ttulo1"/>
      </w:pPr>
      <w:r w:rsidRPr="001B5503">
        <w:t>Results and discussion</w:t>
      </w:r>
    </w:p>
    <w:p w14:paraId="3F1876B1" w14:textId="77777777" w:rsidR="00B642D0" w:rsidRPr="001B5503" w:rsidRDefault="00F75F9E" w:rsidP="00B642D0">
      <w:r w:rsidRPr="001B5503">
        <w:t>T</w:t>
      </w:r>
      <w:r w:rsidR="00B642D0" w:rsidRPr="001B5503">
        <w:t xml:space="preserve">he environmental impact of </w:t>
      </w:r>
      <w:r w:rsidR="006E0A1B" w:rsidRPr="001B5503">
        <w:t xml:space="preserve">multiple cation/anion </w:t>
      </w:r>
      <w:r w:rsidR="00B642D0" w:rsidRPr="001B5503">
        <w:t>perovskite w</w:t>
      </w:r>
      <w:r w:rsidR="00E43EBA">
        <w:t>as</w:t>
      </w:r>
      <w:r w:rsidR="00B642D0" w:rsidRPr="001B5503">
        <w:t xml:space="preserve"> compared with the environmental impact of a canonical perovskite, in </w:t>
      </w:r>
      <w:r w:rsidR="0099656C" w:rsidRPr="001B5503">
        <w:fldChar w:fldCharType="begin"/>
      </w:r>
      <w:r w:rsidR="00B642D0" w:rsidRPr="001B5503">
        <w:instrText xml:space="preserve"> REF _Ref497813755 \h </w:instrText>
      </w:r>
      <w:r w:rsidR="0099656C" w:rsidRPr="001B5503">
        <w:fldChar w:fldCharType="separate"/>
      </w:r>
      <w:r w:rsidR="008C5B92" w:rsidRPr="001B5503">
        <w:t>Figure 2</w:t>
      </w:r>
      <w:r w:rsidR="0099656C" w:rsidRPr="001B5503">
        <w:fldChar w:fldCharType="end"/>
      </w:r>
      <w:r w:rsidR="00B642D0" w:rsidRPr="001B5503">
        <w:t>. These outcomes comprise the environmental impacts generated from the materials extraction until the PSC is manufactured</w:t>
      </w:r>
      <w:r w:rsidR="006E0A1B" w:rsidRPr="001B5503">
        <w:t xml:space="preserve">, </w:t>
      </w:r>
      <w:r w:rsidR="00651DB5" w:rsidRPr="001B5503">
        <w:t>although</w:t>
      </w:r>
      <w:r w:rsidR="006E0A1B" w:rsidRPr="001B5503">
        <w:t xml:space="preserve"> considering just the effect of perovskite layer as it has been previously commented in section </w:t>
      </w:r>
      <w:r w:rsidR="006B1E59">
        <w:fldChar w:fldCharType="begin"/>
      </w:r>
      <w:r w:rsidR="006B1E59">
        <w:instrText xml:space="preserve"> REF _Ref510789872 \r \h </w:instrText>
      </w:r>
      <w:r w:rsidR="006B1E59">
        <w:fldChar w:fldCharType="separate"/>
      </w:r>
      <w:r w:rsidR="006B1E59">
        <w:t>2.2</w:t>
      </w:r>
      <w:r w:rsidR="006B1E59">
        <w:fldChar w:fldCharType="end"/>
      </w:r>
      <w:r w:rsidR="003A5930">
        <w:t xml:space="preserve"> of this manuscript</w:t>
      </w:r>
      <w:r w:rsidR="00B642D0" w:rsidRPr="001B5503">
        <w:t>.</w:t>
      </w:r>
      <w:r w:rsidR="007B5C4E">
        <w:t xml:space="preserve"> </w:t>
      </w:r>
      <w:r w:rsidR="006E0A1B" w:rsidRPr="001B5503">
        <w:t>The results are plotted in percentage c</w:t>
      </w:r>
      <w:r w:rsidR="005D05B4" w:rsidRPr="001B5503">
        <w:t xml:space="preserve">onsidering the </w:t>
      </w:r>
      <w:r w:rsidR="00B642D0" w:rsidRPr="001B5503">
        <w:t>impact of the composition with the largest impact</w:t>
      </w:r>
      <w:r w:rsidR="007B5C4E">
        <w:t xml:space="preserve"> </w:t>
      </w:r>
      <w:r w:rsidR="005D05B4" w:rsidRPr="001B5503">
        <w:t>as 100%, been this composition the multiple cation/anion perovskite with x=0</w:t>
      </w:r>
      <w:r w:rsidR="007B5C4E" w:rsidRPr="001B5503">
        <w:t xml:space="preserve">, i.e. </w:t>
      </w:r>
      <m:oMath>
        <m:sSub>
          <m:sSubPr>
            <m:ctrlPr>
              <w:rPr>
                <w:rFonts w:ascii="Cambria Math" w:hAnsi="Cambria Math"/>
              </w:rPr>
            </m:ctrlPr>
          </m:sSubPr>
          <m:e>
            <m:r>
              <w:rPr>
                <w:rFonts w:ascii="Cambria Math" w:hAnsi="Cambria Math"/>
              </w:rPr>
              <m:t>MA</m:t>
            </m:r>
          </m:e>
          <m:sub>
            <m:r>
              <w:rPr>
                <w:rFonts w:ascii="Cambria Math" w:hAnsi="Cambria Math"/>
              </w:rPr>
              <m:t>0.17</m:t>
            </m:r>
          </m:sub>
        </m:sSub>
        <m:sSub>
          <m:sSubPr>
            <m:ctrlPr>
              <w:rPr>
                <w:rFonts w:ascii="Cambria Math" w:hAnsi="Cambria Math"/>
              </w:rPr>
            </m:ctrlPr>
          </m:sSubPr>
          <m:e>
            <m:r>
              <w:rPr>
                <w:rFonts w:ascii="Cambria Math" w:hAnsi="Cambria Math"/>
              </w:rPr>
              <m:t>FA</m:t>
            </m:r>
          </m:e>
          <m:sub>
            <m:r>
              <w:rPr>
                <w:rFonts w:ascii="Cambria Math" w:hAnsi="Cambria Math"/>
              </w:rPr>
              <m:t>0.83</m:t>
            </m:r>
          </m:sub>
        </m:sSub>
        <m: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0.83</m:t>
                    </m:r>
                  </m:sub>
                </m:sSub>
                <m:sSub>
                  <m:sSubPr>
                    <m:ctrlPr>
                      <w:rPr>
                        <w:rFonts w:ascii="Cambria Math" w:hAnsi="Cambria Math"/>
                      </w:rPr>
                    </m:ctrlPr>
                  </m:sSubPr>
                  <m:e>
                    <m:r>
                      <w:rPr>
                        <w:rFonts w:ascii="Cambria Math" w:hAnsi="Cambria Math"/>
                      </w:rPr>
                      <m:t>Br</m:t>
                    </m:r>
                  </m:e>
                  <m:sub>
                    <m:r>
                      <w:rPr>
                        <w:rFonts w:ascii="Cambria Math" w:hAnsi="Cambria Math"/>
                      </w:rPr>
                      <m:t>0.17</m:t>
                    </m:r>
                  </m:sub>
                </m:sSub>
              </m:e>
            </m:d>
          </m:e>
          <m:sub>
            <m:r>
              <w:rPr>
                <w:rFonts w:ascii="Cambria Math" w:hAnsi="Cambria Math"/>
              </w:rPr>
              <m:t>3</m:t>
            </m:r>
          </m:sub>
        </m:sSub>
      </m:oMath>
      <w:r w:rsidR="007B5C4E">
        <w:t xml:space="preserve">, </w:t>
      </w:r>
      <w:r w:rsidR="00770210" w:rsidRPr="001B5503">
        <w:t>for every category but ADP</w:t>
      </w:r>
      <w:r w:rsidR="001D0E61" w:rsidRPr="001B5503">
        <w:t>.</w:t>
      </w:r>
      <w:r w:rsidR="009626F7" w:rsidRPr="001B5503">
        <w:t xml:space="preserve"> Alongside with the total </w:t>
      </w:r>
      <w:r w:rsidR="0087378B" w:rsidRPr="001B5503">
        <w:t>impacts</w:t>
      </w:r>
      <w:r w:rsidR="00CF44A2" w:rsidRPr="001B5503">
        <w:t xml:space="preserve"> including the impact originated by the energy consumption for the preparation of the perovskite layer</w:t>
      </w:r>
      <w:r w:rsidR="0087378B" w:rsidRPr="001B5503">
        <w:t xml:space="preserve">, results without accounting the energy consumption are </w:t>
      </w:r>
      <w:r w:rsidR="00431D2B" w:rsidRPr="001B5503">
        <w:t xml:space="preserve">also </w:t>
      </w:r>
      <w:r w:rsidR="0087378B" w:rsidRPr="001B5503">
        <w:t>plotted</w:t>
      </w:r>
      <w:r w:rsidR="007B5C4E">
        <w:t xml:space="preserve"> </w:t>
      </w:r>
      <w:r w:rsidR="0087378B" w:rsidRPr="001B5503">
        <w:t xml:space="preserve">in </w:t>
      </w:r>
      <w:r w:rsidR="0099656C" w:rsidRPr="001B5503">
        <w:fldChar w:fldCharType="begin"/>
      </w:r>
      <w:r w:rsidR="0087378B" w:rsidRPr="001B5503">
        <w:instrText xml:space="preserve"> REF _Ref497813755 \h </w:instrText>
      </w:r>
      <w:r w:rsidR="0099656C" w:rsidRPr="001B5503">
        <w:fldChar w:fldCharType="separate"/>
      </w:r>
      <w:r w:rsidR="0087378B" w:rsidRPr="001B5503">
        <w:t>Figure 2</w:t>
      </w:r>
      <w:r w:rsidR="0099656C" w:rsidRPr="001B5503">
        <w:fldChar w:fldCharType="end"/>
      </w:r>
      <w:r w:rsidR="0087378B" w:rsidRPr="001B5503">
        <w:t>.</w:t>
      </w:r>
      <w:r w:rsidR="007B5C4E">
        <w:t xml:space="preserve"> </w:t>
      </w:r>
      <w:r w:rsidR="00366FDF" w:rsidRPr="001B5503">
        <w:t xml:space="preserve">Energy consumption for the preparation of PSCs at lab scale has been directly measured and in fact it rules most of the impact as can be appreciated in the distribution of impacts per type of flow Figure S1. </w:t>
      </w:r>
      <w:r w:rsidR="00383A6C" w:rsidRPr="001B5503">
        <w:t>The contribution of energy consumption to the total impact will undoubtedly decrease with the</w:t>
      </w:r>
      <w:r w:rsidR="007B5C4E">
        <w:t xml:space="preserve"> </w:t>
      </w:r>
      <w:r w:rsidR="00383A6C" w:rsidRPr="001B5503">
        <w:t xml:space="preserve">industrial </w:t>
      </w:r>
      <w:r w:rsidR="00366FDF" w:rsidRPr="001B5503">
        <w:t>up</w:t>
      </w:r>
      <w:r w:rsidR="00513103" w:rsidRPr="001B5503">
        <w:t>-</w:t>
      </w:r>
      <w:r w:rsidR="00366FDF" w:rsidRPr="001B5503">
        <w:t xml:space="preserve">scaling </w:t>
      </w:r>
      <w:r w:rsidR="00383A6C" w:rsidRPr="001B5503">
        <w:t>process</w:t>
      </w:r>
      <w:r w:rsidR="00366FDF" w:rsidRPr="001B5503">
        <w:t xml:space="preserve">. </w:t>
      </w:r>
      <w:r w:rsidR="00383A6C" w:rsidRPr="001B5503">
        <w:t>Consequently, in order to take into account the direct impact of the materials themselves the impact without taking into account the energy consumption have been also calculated</w:t>
      </w:r>
      <w:r w:rsidR="000F4C6B" w:rsidRPr="001B5503">
        <w:t xml:space="preserve"> and represented in Figure 2</w:t>
      </w:r>
      <w:r w:rsidR="00383A6C" w:rsidRPr="001B5503">
        <w:t>.</w:t>
      </w:r>
    </w:p>
    <w:p w14:paraId="288E34DA" w14:textId="77777777" w:rsidR="00C25800" w:rsidRPr="001B5503" w:rsidRDefault="00651DB5" w:rsidP="00C25800">
      <w:pPr>
        <w:keepNext/>
      </w:pPr>
      <w:r w:rsidRPr="001B5503">
        <w:rPr>
          <w:noProof/>
          <w:lang w:val="es-ES_tradnl" w:eastAsia="es-ES_tradnl"/>
        </w:rPr>
        <w:lastRenderedPageBreak/>
        <w:drawing>
          <wp:inline distT="0" distB="0" distL="0" distR="0" wp14:anchorId="11A4BA53" wp14:editId="778CB566">
            <wp:extent cx="5400000" cy="3240000"/>
            <wp:effectExtent l="0" t="0" r="0" b="0"/>
            <wp:docPr id="7" name="Gráfico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4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8E4CC9" w14:textId="77777777" w:rsidR="00EA1F96" w:rsidRPr="001B5503" w:rsidRDefault="00C25800" w:rsidP="00363920">
      <w:pPr>
        <w:pStyle w:val="Ttolfigura"/>
      </w:pPr>
      <w:bookmarkStart w:id="10" w:name="_Ref497813755"/>
      <w:r w:rsidRPr="001B5503">
        <w:t xml:space="preserve">Figure </w:t>
      </w:r>
      <w:r w:rsidR="0099656C" w:rsidRPr="001B5503">
        <w:fldChar w:fldCharType="begin"/>
      </w:r>
      <w:r w:rsidRPr="001B5503">
        <w:instrText xml:space="preserve"> SEQ Figure \* ARABIC </w:instrText>
      </w:r>
      <w:r w:rsidR="0099656C" w:rsidRPr="001B5503">
        <w:fldChar w:fldCharType="separate"/>
      </w:r>
      <w:r w:rsidR="008C5B92" w:rsidRPr="001B5503">
        <w:t>2</w:t>
      </w:r>
      <w:r w:rsidR="0099656C" w:rsidRPr="001B5503">
        <w:fldChar w:fldCharType="end"/>
      </w:r>
      <w:bookmarkEnd w:id="10"/>
      <w:r w:rsidR="0037108E" w:rsidRPr="001B5503">
        <w:t>.</w:t>
      </w:r>
      <w:r w:rsidRPr="001B5503">
        <w:rPr>
          <w:b w:val="0"/>
        </w:rPr>
        <w:t xml:space="preserve">Relative impacts of </w:t>
      </w:r>
      <w:r w:rsidR="002557B6" w:rsidRPr="001B5503">
        <w:rPr>
          <w:b w:val="0"/>
        </w:rPr>
        <w:t xml:space="preserve">perovskite </w:t>
      </w:r>
      <w:r w:rsidR="006E29F5" w:rsidRPr="001B5503">
        <w:rPr>
          <w:b w:val="0"/>
        </w:rPr>
        <w:t xml:space="preserve">layer </w:t>
      </w:r>
      <w:r w:rsidR="002557B6" w:rsidRPr="001B5503">
        <w:rPr>
          <w:b w:val="0"/>
        </w:rPr>
        <w:t>synthesis and deposition</w:t>
      </w:r>
      <w:r w:rsidR="007B5C4E">
        <w:rPr>
          <w:b w:val="0"/>
        </w:rPr>
        <w:t xml:space="preserve"> </w:t>
      </w:r>
      <w:r w:rsidR="00776E9A" w:rsidRPr="001B5503">
        <w:rPr>
          <w:b w:val="0"/>
        </w:rPr>
        <w:t xml:space="preserve">with proportions of </w:t>
      </w:r>
      <w:r w:rsidR="0037108E" w:rsidRPr="001B5503">
        <w:rPr>
          <w:b w:val="0"/>
        </w:rPr>
        <w:t>Cs</w:t>
      </w:r>
      <w:r w:rsidR="00776E9A" w:rsidRPr="001B5503">
        <w:rPr>
          <w:b w:val="0"/>
        </w:rPr>
        <w:t xml:space="preserve"> of </w:t>
      </w:r>
      <w:r w:rsidR="0037108E" w:rsidRPr="001B5503">
        <w:rPr>
          <w:b w:val="0"/>
        </w:rPr>
        <w:t>x=</w:t>
      </w:r>
      <w:r w:rsidR="00776E9A" w:rsidRPr="001B5503">
        <w:rPr>
          <w:b w:val="0"/>
        </w:rPr>
        <w:t xml:space="preserve">0, </w:t>
      </w:r>
      <w:r w:rsidR="00E309FB" w:rsidRPr="001B5503">
        <w:rPr>
          <w:b w:val="0"/>
        </w:rPr>
        <w:t>0.0</w:t>
      </w:r>
      <w:r w:rsidR="00776E9A" w:rsidRPr="001B5503">
        <w:rPr>
          <w:b w:val="0"/>
        </w:rPr>
        <w:t xml:space="preserve">5, </w:t>
      </w:r>
      <w:r w:rsidR="00E309FB" w:rsidRPr="001B5503">
        <w:rPr>
          <w:b w:val="0"/>
        </w:rPr>
        <w:t>0.</w:t>
      </w:r>
      <w:r w:rsidR="00776E9A" w:rsidRPr="001B5503">
        <w:rPr>
          <w:b w:val="0"/>
        </w:rPr>
        <w:t>1</w:t>
      </w:r>
      <w:r w:rsidR="00770210" w:rsidRPr="001B5503">
        <w:rPr>
          <w:b w:val="0"/>
        </w:rPr>
        <w:t>0</w:t>
      </w:r>
      <w:r w:rsidR="00776E9A" w:rsidRPr="001B5503">
        <w:rPr>
          <w:b w:val="0"/>
        </w:rPr>
        <w:t xml:space="preserve"> and </w:t>
      </w:r>
      <w:r w:rsidR="00E309FB" w:rsidRPr="001B5503">
        <w:rPr>
          <w:b w:val="0"/>
        </w:rPr>
        <w:t>0.</w:t>
      </w:r>
      <w:r w:rsidR="00776E9A" w:rsidRPr="001B5503">
        <w:rPr>
          <w:b w:val="0"/>
        </w:rPr>
        <w:t>15</w:t>
      </w:r>
      <w:r w:rsidR="007B5C4E">
        <w:rPr>
          <w:b w:val="0"/>
        </w:rPr>
        <w:t xml:space="preserve"> </w:t>
      </w:r>
      <w:r w:rsidR="006261EE" w:rsidRPr="001B5503">
        <w:rPr>
          <w:b w:val="0"/>
        </w:rPr>
        <w:t xml:space="preserve">at the perovskite cationic position </w:t>
      </w:r>
      <w:r w:rsidR="0037108E" w:rsidRPr="001B5503">
        <w:rPr>
          <w:b w:val="0"/>
        </w:rPr>
        <w:t xml:space="preserve">for multiple cation/anion </w:t>
      </w:r>
      <m:oMath>
        <m:sSub>
          <m:sSubPr>
            <m:ctrlPr>
              <w:rPr>
                <w:rFonts w:ascii="Cambria Math" w:hAnsi="Cambria Math"/>
              </w:rPr>
            </m:ctrlPr>
          </m:sSubPr>
          <m:e>
            <m:r>
              <m:rPr>
                <m:sty m:val="bi"/>
              </m:rPr>
              <w:rPr>
                <w:rFonts w:ascii="Cambria Math" w:hAnsi="Cambria Math"/>
              </w:rPr>
              <m:t>Cs</m:t>
            </m:r>
          </m:e>
          <m:sub>
            <m:r>
              <m:rPr>
                <m:sty m:val="bi"/>
              </m:rPr>
              <w:rPr>
                <w:rFonts w:ascii="Cambria Math" w:hAnsi="Cambria Math"/>
              </w:rPr>
              <m:t>x</m:t>
            </m:r>
          </m:sub>
        </m:sSub>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MA</m:t>
                    </m:r>
                  </m:e>
                  <m:sub>
                    <m:r>
                      <m:rPr>
                        <m:sty m:val="bi"/>
                      </m:rPr>
                      <w:rPr>
                        <w:rFonts w:ascii="Cambria Math" w:hAnsi="Cambria Math"/>
                      </w:rPr>
                      <m:t>0.17</m:t>
                    </m:r>
                  </m:sub>
                </m:sSub>
                <m:sSub>
                  <m:sSubPr>
                    <m:ctrlPr>
                      <w:rPr>
                        <w:rFonts w:ascii="Cambria Math" w:hAnsi="Cambria Math"/>
                      </w:rPr>
                    </m:ctrlPr>
                  </m:sSubPr>
                  <m:e>
                    <m:r>
                      <m:rPr>
                        <m:sty m:val="bi"/>
                      </m:rPr>
                      <w:rPr>
                        <w:rFonts w:ascii="Cambria Math" w:hAnsi="Cambria Math"/>
                      </w:rPr>
                      <m:t>FA</m:t>
                    </m:r>
                  </m:e>
                  <m:sub>
                    <m:r>
                      <m:rPr>
                        <m:sty m:val="bi"/>
                      </m:rPr>
                      <w:rPr>
                        <w:rFonts w:ascii="Cambria Math" w:hAnsi="Cambria Math"/>
                      </w:rPr>
                      <m:t>0.83</m:t>
                    </m:r>
                  </m:sub>
                </m:sSub>
              </m:e>
            </m:d>
          </m:e>
          <m:sub>
            <m:r>
              <m:rPr>
                <m:sty m:val="bi"/>
              </m:rPr>
              <w:rPr>
                <w:rFonts w:ascii="Cambria Math" w:hAnsi="Cambria Math"/>
              </w:rPr>
              <m:t>(1-x)</m:t>
            </m:r>
          </m:sub>
        </m:sSub>
        <m:r>
          <m:rPr>
            <m:sty m:val="bi"/>
          </m:rP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I</m:t>
                    </m:r>
                  </m:e>
                  <m:sub>
                    <m:r>
                      <m:rPr>
                        <m:sty m:val="bi"/>
                      </m:rPr>
                      <w:rPr>
                        <w:rFonts w:ascii="Cambria Math" w:hAnsi="Cambria Math"/>
                      </w:rPr>
                      <m:t>0.83</m:t>
                    </m:r>
                  </m:sub>
                </m:sSub>
                <m:sSub>
                  <m:sSubPr>
                    <m:ctrlPr>
                      <w:rPr>
                        <w:rFonts w:ascii="Cambria Math" w:hAnsi="Cambria Math"/>
                      </w:rPr>
                    </m:ctrlPr>
                  </m:sSubPr>
                  <m:e>
                    <m:r>
                      <m:rPr>
                        <m:sty m:val="bi"/>
                      </m:rPr>
                      <w:rPr>
                        <w:rFonts w:ascii="Cambria Math" w:hAnsi="Cambria Math"/>
                      </w:rPr>
                      <m:t>Br</m:t>
                    </m:r>
                  </m:e>
                  <m:sub>
                    <m:r>
                      <m:rPr>
                        <m:sty m:val="bi"/>
                      </m:rPr>
                      <w:rPr>
                        <w:rFonts w:ascii="Cambria Math" w:hAnsi="Cambria Math"/>
                      </w:rPr>
                      <m:t>0.17</m:t>
                    </m:r>
                  </m:sub>
                </m:sSub>
              </m:e>
            </m:d>
          </m:e>
          <m:sub>
            <m:r>
              <m:rPr>
                <m:sty m:val="bi"/>
              </m:rPr>
              <w:rPr>
                <w:rFonts w:ascii="Cambria Math" w:hAnsi="Cambria Math"/>
              </w:rPr>
              <m:t>3</m:t>
            </m:r>
          </m:sub>
        </m:sSub>
        <m:r>
          <m:rPr>
            <m:sty m:val="b"/>
          </m:rPr>
          <w:rPr>
            <w:rFonts w:ascii="Cambria Math" w:hAnsi="Cambria Math"/>
          </w:rPr>
          <m:t xml:space="preserve"> </m:t>
        </m:r>
      </m:oMath>
      <w:r w:rsidR="00776E9A" w:rsidRPr="001B5503">
        <w:rPr>
          <w:b w:val="0"/>
        </w:rPr>
        <w:t xml:space="preserve">compared with the canonical perovskite </w:t>
      </w:r>
      <w:r w:rsidR="00F75F9E" w:rsidRPr="001B5503">
        <w:rPr>
          <w:b w:val="0"/>
        </w:rPr>
        <w:t xml:space="preserve">for </w:t>
      </w:r>
      <w:r w:rsidR="00545399" w:rsidRPr="001B5503">
        <w:rPr>
          <w:b w:val="0"/>
        </w:rPr>
        <w:t>total impacts</w:t>
      </w:r>
      <w:r w:rsidR="00721D19" w:rsidRPr="001B5503">
        <w:rPr>
          <w:b w:val="0"/>
        </w:rPr>
        <w:t xml:space="preserve"> and </w:t>
      </w:r>
      <w:r w:rsidR="00545399" w:rsidRPr="001B5503">
        <w:rPr>
          <w:b w:val="0"/>
        </w:rPr>
        <w:t>without taking</w:t>
      </w:r>
      <w:r w:rsidRPr="001B5503">
        <w:rPr>
          <w:b w:val="0"/>
        </w:rPr>
        <w:t xml:space="preserve"> energy </w:t>
      </w:r>
      <w:r w:rsidR="002557B6" w:rsidRPr="001B5503">
        <w:rPr>
          <w:b w:val="0"/>
        </w:rPr>
        <w:t>consumption</w:t>
      </w:r>
      <w:r w:rsidR="00545399" w:rsidRPr="001B5503">
        <w:rPr>
          <w:b w:val="0"/>
        </w:rPr>
        <w:t xml:space="preserve"> into account</w:t>
      </w:r>
      <w:r w:rsidR="00776E9A" w:rsidRPr="001B5503">
        <w:rPr>
          <w:b w:val="0"/>
        </w:rPr>
        <w:t>. In X-axis are the environmental impact categories.</w:t>
      </w:r>
    </w:p>
    <w:p w14:paraId="5824A0B2" w14:textId="77777777" w:rsidR="005C5EE9" w:rsidRPr="001B5503" w:rsidRDefault="003628C0" w:rsidP="003628C0">
      <w:r w:rsidRPr="001B5503">
        <w:t xml:space="preserve">Outcomes of the comparison of environmental impacts of the four compositions of perovskite containing </w:t>
      </w:r>
      <w:r w:rsidR="0037108E" w:rsidRPr="001B5503">
        <w:t>Cs</w:t>
      </w:r>
      <w:r w:rsidRPr="001B5503">
        <w:t xml:space="preserve">, </w:t>
      </w:r>
      <w:r w:rsidR="0037108E" w:rsidRPr="001B5503">
        <w:t xml:space="preserve">FA, MA, I and Br </w:t>
      </w:r>
      <w:r w:rsidRPr="001B5503">
        <w:t>with the canonical perovskite</w:t>
      </w:r>
      <w:r w:rsidR="002A2F5A" w:rsidRPr="001B5503">
        <w:t>,</w:t>
      </w:r>
      <w:r w:rsidRPr="001B5503">
        <w:t xml:space="preserve"> w</w:t>
      </w:r>
      <w:r w:rsidR="002A2F5A" w:rsidRPr="001B5503">
        <w:t>hic</w:t>
      </w:r>
      <w:r w:rsidRPr="001B5503">
        <w:t>h</w:t>
      </w:r>
      <w:r w:rsidR="002A2F5A" w:rsidRPr="001B5503">
        <w:t xml:space="preserve"> is composed of</w:t>
      </w:r>
      <w:r w:rsidRPr="001B5503">
        <w:t xml:space="preserve"> just </w:t>
      </w:r>
      <w:r w:rsidR="0037108E" w:rsidRPr="001B5503">
        <w:t>MA</w:t>
      </w:r>
      <w:r w:rsidR="007B5C4E">
        <w:t xml:space="preserve"> </w:t>
      </w:r>
      <w:r w:rsidR="0037108E" w:rsidRPr="001B5503">
        <w:t>and I</w:t>
      </w:r>
      <w:r w:rsidR="002A2F5A" w:rsidRPr="001B5503">
        <w:t>,</w:t>
      </w:r>
      <w:r w:rsidRPr="001B5503">
        <w:t xml:space="preserve"> are quite homogeneous for all categories</w:t>
      </w:r>
      <w:r w:rsidR="00D74CAD" w:rsidRPr="001B5503">
        <w:t>, except for ADP category</w:t>
      </w:r>
      <w:r w:rsidRPr="001B5503">
        <w:t xml:space="preserve">. </w:t>
      </w:r>
      <w:r w:rsidR="00D74CAD" w:rsidRPr="001B5503">
        <w:t>In general, t</w:t>
      </w:r>
      <w:r w:rsidRPr="001B5503">
        <w:t xml:space="preserve">hey show that </w:t>
      </w:r>
      <w:r w:rsidR="0037108E" w:rsidRPr="001B5503">
        <w:t>multi</w:t>
      </w:r>
      <w:r w:rsidR="00D74CAD" w:rsidRPr="001B5503">
        <w:t>ple cation</w:t>
      </w:r>
      <w:r w:rsidR="0037108E" w:rsidRPr="001B5503">
        <w:t>/anion</w:t>
      </w:r>
      <w:r w:rsidRPr="001B5503">
        <w:t xml:space="preserve"> perovskite </w:t>
      </w:r>
      <w:r w:rsidR="00D74CAD" w:rsidRPr="001B5503">
        <w:t>compositions are</w:t>
      </w:r>
      <w:r w:rsidR="007B5C4E">
        <w:t xml:space="preserve"> </w:t>
      </w:r>
      <w:r w:rsidRPr="001B5503">
        <w:t>mo</w:t>
      </w:r>
      <w:r w:rsidR="00D74CAD" w:rsidRPr="001B5503">
        <w:t>re</w:t>
      </w:r>
      <w:r w:rsidRPr="001B5503">
        <w:t xml:space="preserve"> harmful </w:t>
      </w:r>
      <w:r w:rsidR="00D74CAD" w:rsidRPr="001B5503">
        <w:t>than canonical perovskite</w:t>
      </w:r>
      <w:r w:rsidR="0037108E" w:rsidRPr="001B5503">
        <w:t xml:space="preserve">, except for ADP where </w:t>
      </w:r>
      <w:r w:rsidR="00545399" w:rsidRPr="001B5503">
        <w:t>canonical perovskite impact surpasses that of multiple cation/anion perovskites</w:t>
      </w:r>
      <w:r w:rsidR="0037108E" w:rsidRPr="001B5503">
        <w:t>.</w:t>
      </w:r>
    </w:p>
    <w:p w14:paraId="1035B93D" w14:textId="77777777" w:rsidR="008D3CD7" w:rsidRPr="001B5503" w:rsidRDefault="003628C0" w:rsidP="003628C0">
      <w:r w:rsidRPr="001B5503">
        <w:t>A comprehensive table with the absolute outcomes of the five</w:t>
      </w:r>
      <w:r w:rsidR="007D0AAE" w:rsidRPr="001B5503">
        <w:t xml:space="preserve"> different perovskite composition here compared </w:t>
      </w:r>
      <w:r w:rsidRPr="001B5503">
        <w:t>is available in the supplementary information</w:t>
      </w:r>
      <w:r w:rsidR="007D0AAE" w:rsidRPr="001B5503">
        <w:t xml:space="preserve"> Tables </w:t>
      </w:r>
      <w:r w:rsidR="00B210C5" w:rsidRPr="001B5503">
        <w:t>S9-S13</w:t>
      </w:r>
      <w:r w:rsidRPr="001B5503">
        <w:t xml:space="preserve">. </w:t>
      </w:r>
      <w:r w:rsidR="001A21C8" w:rsidRPr="001B5503">
        <w:t>In addition, the impact distribution of the flows of inputs and outputs of the process</w:t>
      </w:r>
      <w:r w:rsidR="004B58D7" w:rsidRPr="001B5503">
        <w:t xml:space="preserve"> of the perovskite synthesis and deposition is</w:t>
      </w:r>
      <w:r w:rsidR="001A21C8" w:rsidRPr="001B5503">
        <w:t xml:space="preserve"> presented in the supplementary information</w:t>
      </w:r>
      <w:r w:rsidR="00D90024" w:rsidRPr="001B5503">
        <w:t>, see Figure S1</w:t>
      </w:r>
      <w:r w:rsidR="001A21C8" w:rsidRPr="001B5503">
        <w:t xml:space="preserve">. </w:t>
      </w:r>
      <w:r w:rsidR="008C1468" w:rsidRPr="001B5503">
        <w:t>Total impact r</w:t>
      </w:r>
      <w:r w:rsidR="00D90024" w:rsidRPr="001B5503">
        <w:t xml:space="preserve">esults for multiple </w:t>
      </w:r>
      <w:r w:rsidRPr="001B5503">
        <w:t>cation</w:t>
      </w:r>
      <w:r w:rsidR="00D90024" w:rsidRPr="001B5503">
        <w:t>/anion</w:t>
      </w:r>
      <w:r w:rsidRPr="001B5503">
        <w:t xml:space="preserve"> perovskite impacts are very analogous</w:t>
      </w:r>
      <w:r w:rsidR="00D90024" w:rsidRPr="001B5503">
        <w:t xml:space="preserve"> among them</w:t>
      </w:r>
      <w:r w:rsidR="00796538" w:rsidRPr="001B5503">
        <w:t xml:space="preserve">. </w:t>
      </w:r>
      <w:r w:rsidR="00391399" w:rsidRPr="001B5503">
        <w:t xml:space="preserve">Approximately, </w:t>
      </w:r>
      <w:r w:rsidR="009E4CB6" w:rsidRPr="001B5503">
        <w:t>the canonical perovskite impact supposes</w:t>
      </w:r>
      <w:r w:rsidR="00D90024" w:rsidRPr="001B5503">
        <w:t xml:space="preserve"> just</w:t>
      </w:r>
      <w:r w:rsidR="009E4CB6" w:rsidRPr="001B5503">
        <w:t xml:space="preserve"> a </w:t>
      </w:r>
      <w:r w:rsidR="008C1468" w:rsidRPr="001B5503">
        <w:t>9</w:t>
      </w:r>
      <w:r w:rsidR="009E4CB6" w:rsidRPr="001B5503">
        <w:t>2% of the</w:t>
      </w:r>
      <w:r w:rsidR="007B5C4E">
        <w:t xml:space="preserve"> </w:t>
      </w:r>
      <w:r w:rsidR="00D90024" w:rsidRPr="001B5503">
        <w:t xml:space="preserve">multiple cation/anion perovskite </w:t>
      </w:r>
      <w:r w:rsidR="009E4CB6" w:rsidRPr="001B5503">
        <w:t xml:space="preserve">with </w:t>
      </w:r>
      <w:r w:rsidR="00D90024" w:rsidRPr="001B5503">
        <w:t>x=0</w:t>
      </w:r>
      <w:r w:rsidR="007B5C4E">
        <w:t xml:space="preserve"> </w:t>
      </w:r>
      <w:r w:rsidR="009E4CB6" w:rsidRPr="001B5503">
        <w:t>impact, which is the most harmful among triple cation perovskites for all categories.</w:t>
      </w:r>
      <w:r w:rsidR="007B5C4E">
        <w:t xml:space="preserve"> </w:t>
      </w:r>
      <w:r w:rsidR="008C1468" w:rsidRPr="001B5503">
        <w:t xml:space="preserve">This fact is true except for ODP, POP and EP categories, where canonical perovskite supposes a 77%, 75% and 87% of the x=0 perovskite, respectively. The </w:t>
      </w:r>
      <w:r w:rsidR="00DB2A4B" w:rsidRPr="001B5503">
        <w:t>little</w:t>
      </w:r>
      <w:r w:rsidR="008C1468" w:rsidRPr="001B5503">
        <w:t xml:space="preserve"> deviation stems from a slightly larger impact of </w:t>
      </w:r>
      <w:r w:rsidR="00DB2A4B" w:rsidRPr="001B5503">
        <w:t>multi</w:t>
      </w:r>
      <w:r w:rsidR="006237D1" w:rsidRPr="001B5503">
        <w:t xml:space="preserve">ple </w:t>
      </w:r>
      <w:r w:rsidR="00DB2A4B" w:rsidRPr="001B5503">
        <w:t>cation/anion perovskites reagent and energy consumption.</w:t>
      </w:r>
    </w:p>
    <w:p w14:paraId="78101433" w14:textId="77777777" w:rsidR="00766525" w:rsidRPr="001B5503" w:rsidRDefault="009E4CB6" w:rsidP="00766525">
      <w:r w:rsidRPr="001B5503">
        <w:t>However,</w:t>
      </w:r>
      <w:r w:rsidR="007B5C4E">
        <w:t xml:space="preserve"> </w:t>
      </w:r>
      <w:r w:rsidR="00731B50" w:rsidRPr="001B5503">
        <w:t xml:space="preserve">for </w:t>
      </w:r>
      <w:r w:rsidRPr="001B5503">
        <w:t>A</w:t>
      </w:r>
      <w:r w:rsidR="00391399" w:rsidRPr="001B5503">
        <w:t xml:space="preserve">DP </w:t>
      </w:r>
      <w:r w:rsidR="0056777E" w:rsidRPr="001B5503">
        <w:t>category impa</w:t>
      </w:r>
      <w:r w:rsidR="00F96B77" w:rsidRPr="001B5503">
        <w:t>c</w:t>
      </w:r>
      <w:r w:rsidR="0056777E" w:rsidRPr="001B5503">
        <w:t>t</w:t>
      </w:r>
      <w:r w:rsidR="007B5C4E">
        <w:t xml:space="preserve"> </w:t>
      </w:r>
      <w:r w:rsidR="0002453F" w:rsidRPr="001B5503">
        <w:t>multi</w:t>
      </w:r>
      <w:r w:rsidR="006237D1" w:rsidRPr="001B5503">
        <w:t xml:space="preserve">ple </w:t>
      </w:r>
      <w:r w:rsidR="0002453F" w:rsidRPr="001B5503">
        <w:t>cation/anion</w:t>
      </w:r>
      <w:r w:rsidR="00731B50" w:rsidRPr="001B5503">
        <w:t xml:space="preserve"> perovskite</w:t>
      </w:r>
      <w:r w:rsidR="0002453F" w:rsidRPr="001B5503">
        <w:t xml:space="preserve"> is predominant,</w:t>
      </w:r>
      <w:r w:rsidR="00731B50" w:rsidRPr="001B5503">
        <w:t xml:space="preserve"> suppos</w:t>
      </w:r>
      <w:r w:rsidR="0002453F" w:rsidRPr="001B5503">
        <w:t>ing</w:t>
      </w:r>
      <w:r w:rsidR="00731B50" w:rsidRPr="001B5503">
        <w:t xml:space="preserve"> roughly a</w:t>
      </w:r>
      <w:r w:rsidR="007B5C4E">
        <w:t xml:space="preserve"> </w:t>
      </w:r>
      <w:r w:rsidRPr="001B5503">
        <w:t>9</w:t>
      </w:r>
      <w:r w:rsidR="0002453F" w:rsidRPr="001B5503">
        <w:t>2</w:t>
      </w:r>
      <w:r w:rsidR="00391399" w:rsidRPr="001B5503">
        <w:t>%</w:t>
      </w:r>
      <w:r w:rsidR="0056777E" w:rsidRPr="001B5503">
        <w:t xml:space="preserve"> respect to the </w:t>
      </w:r>
      <w:r w:rsidR="0002453F" w:rsidRPr="001B5503">
        <w:t>canonical</w:t>
      </w:r>
      <w:r w:rsidR="0056777E" w:rsidRPr="001B5503">
        <w:t xml:space="preserve"> perovskite impact</w:t>
      </w:r>
      <w:r w:rsidR="00391399" w:rsidRPr="001B5503">
        <w:t>.</w:t>
      </w:r>
      <w:r w:rsidR="007B5C4E">
        <w:t xml:space="preserve"> </w:t>
      </w:r>
      <w:r w:rsidR="00EF25EA" w:rsidRPr="001B5503">
        <w:t>The reason behind this lies on the fact that the main responsible group of inputs of the impact of ADP category are the synthesis reagents</w:t>
      </w:r>
      <w:r w:rsidR="00C051BC" w:rsidRPr="001B5503">
        <w:t>, mainly PbI</w:t>
      </w:r>
      <w:r w:rsidR="00C051BC" w:rsidRPr="001B5503">
        <w:rPr>
          <w:vertAlign w:val="subscript"/>
        </w:rPr>
        <w:t>2</w:t>
      </w:r>
      <w:r w:rsidR="0063070B" w:rsidRPr="001B5503">
        <w:t>,</w:t>
      </w:r>
      <w:r w:rsidR="007B5C4E">
        <w:t xml:space="preserve"> </w:t>
      </w:r>
      <w:r w:rsidR="0063070B" w:rsidRPr="001B5503">
        <w:t>wh</w:t>
      </w:r>
      <w:r w:rsidR="0002453F" w:rsidRPr="001B5503">
        <w:t>ose impact is bigger for the canonical perovskite</w:t>
      </w:r>
      <w:r w:rsidR="003D182D" w:rsidRPr="001B5503">
        <w:t>.</w:t>
      </w:r>
      <w:r w:rsidR="007B5C4E">
        <w:t xml:space="preserve"> </w:t>
      </w:r>
      <w:r w:rsidR="00C051BC" w:rsidRPr="001B5503">
        <w:t>T</w:t>
      </w:r>
      <w:r w:rsidR="0063070B" w:rsidRPr="001B5503">
        <w:t xml:space="preserve">here is a little difference of impact amongst </w:t>
      </w:r>
      <w:r w:rsidR="0003135B" w:rsidRPr="001B5503">
        <w:t>m</w:t>
      </w:r>
      <w:r w:rsidR="00796538" w:rsidRPr="001B5503">
        <w:t>u</w:t>
      </w:r>
      <w:r w:rsidR="0003135B" w:rsidRPr="001B5503">
        <w:t>lti</w:t>
      </w:r>
      <w:r w:rsidR="0063070B" w:rsidRPr="001B5503">
        <w:t>ple cation</w:t>
      </w:r>
      <w:r w:rsidR="0003135B" w:rsidRPr="001B5503">
        <w:t>/anion</w:t>
      </w:r>
      <w:r w:rsidR="0063070B" w:rsidRPr="001B5503">
        <w:t xml:space="preserve"> perovskites, </w:t>
      </w:r>
      <w:r w:rsidR="004B6D54" w:rsidRPr="001B5503">
        <w:t xml:space="preserve">as the amount of synthesis </w:t>
      </w:r>
      <w:r w:rsidR="004B6D54" w:rsidRPr="001B5503">
        <w:lastRenderedPageBreak/>
        <w:t>reagents used is identical</w:t>
      </w:r>
      <w:r w:rsidR="0063070B" w:rsidRPr="001B5503">
        <w:t xml:space="preserve">. </w:t>
      </w:r>
      <w:r w:rsidR="00C051BC" w:rsidRPr="001B5503">
        <w:t>Generally</w:t>
      </w:r>
      <w:r w:rsidR="000E33D3" w:rsidRPr="001B5503">
        <w:t>, f</w:t>
      </w:r>
      <w:r w:rsidR="00092217" w:rsidRPr="001B5503">
        <w:t>or this category energy consumption is not as determinant as for the rest of categories.</w:t>
      </w:r>
      <w:r w:rsidR="007B5C4E">
        <w:t xml:space="preserve"> </w:t>
      </w:r>
      <w:r w:rsidR="000B296C" w:rsidRPr="001B5503">
        <w:t xml:space="preserve">Although </w:t>
      </w:r>
      <w:r w:rsidR="0003135B" w:rsidRPr="001B5503">
        <w:t>Cs</w:t>
      </w:r>
      <w:r w:rsidR="000B296C" w:rsidRPr="001B5503">
        <w:t xml:space="preserve"> impact is negligible for ADP category and unappreciable for the rest of the categories, its ADP characterisation factor (ADPF) needs a revision because it might be outdated.</w:t>
      </w:r>
      <w:r w:rsidR="007B5C4E">
        <w:t xml:space="preserve"> </w:t>
      </w:r>
      <w:r w:rsidR="000B296C" w:rsidRPr="001B5503">
        <w:t>Due to the ADPF utilised for this study is taken from literature of 2002</w:t>
      </w:r>
      <w:r w:rsidR="006237D1" w:rsidRPr="001B5503">
        <w:t>,</w:t>
      </w:r>
      <w:r w:rsidR="0099656C" w:rsidRPr="001B5503">
        <w:fldChar w:fldCharType="begin" w:fldLock="1"/>
      </w:r>
      <w:r w:rsidR="00D67546">
        <w:instrText>ADDIN CSL_CITATION { "citationItems" : [ { "id" : "ITEM-1", "itemData" : { "DOI" : "10.1007/0-306-48055-7", "ISBN" : "978-1-4020-0228-1", "ISSN" : "1523-1755", "PMID" : "22042025", "abstract" : "Environmental policy aims at the transition to sustainable production and consumption. This is taking place in different ways and at different levels. In cases where businesses are continuously active to improve the environmental performance of their products and activities, the availability of knowledge on environmental impacts is indispensable. The integrated assessment of all environmental impacts from cradle to grave is the basis for many decisions relating to achieving improved products and services. The assessment tool most widely used for this is the environmental Life Cycle Assessment, or LCA. Before you is the new Handbook of LCA replacing the previous edition of 1992. New developments in LCA methodology from all over the world have been discussed and, where possible, included in this new Handbook. Integration of all developments into a new, consistent method has been the main aim for the new Handbook. The thinking on environment and sustainability is, however, quickly evolving so that it is already clear now that this new LCA Handbook does not embrace the very latest developments. Therefore, further revisions will have to take place in the future. A major advantage of this Handbook is that it now also advises which procedures should be followed to achieve adequate, relevant and accepted results. Furthermore, the distinction between detailed and simplified LCA makes this Handbook more broadly applicable, while guidance is provided as to which additional information can be relevant for specialised applications.", "author" : [ { "dropping-particle" : "", "family" : "Bruijn", "given" : "Hans", "non-dropping-particle" : "de", "parse-names" : false, "suffix" : "" }, { "dropping-particle" : "", "family" : "Duin", "given" : "Robbert", "non-dropping-particle" : "van", "parse-names" : false, "suffix" : "" }, { "dropping-particle" : "", "family" : "Huijbregts", "given" : "Mark A. J.", "non-dropping-particle" : "", "parse-names" : false, "suffix" : "" } ], "collection-title" : "Eco-Efficiency in Industry and Science", "container-title" : "Operational Guide to the ISO Standards", "editor" : [ { "dropping-particle" : "", "family" : "Guinee", "given" : "Jeroen B.", "non-dropping-particle" : "", "parse-names" : false, "suffix" : "" }, { "dropping-particle" : "", "family" : "Gorree", "given" : "Marieke", "non-dropping-particle" : "", "parse-names" : false, "suffix" : "" }, { "dropping-particle" : "", "family" : "Heijungs", "given" : "Reinout", "non-dropping-particle" : "", "parse-names" : false, "suffix" : "" }, { "dropping-particle" : "", "family" : "Huppes", "given" : "Gjalt", "non-dropping-particle" : "", "parse-names" : false, "suffix" : "" }, { "dropping-particle" : "", "family" : "Kleijn", "given" : "Ren\u00e9e", "non-dropping-particle" : "", "parse-names" : false, "suffix" : "" }, { "dropping-particle" : "", "family" : "Koning", "given" : "Arjan", "non-dropping-particle" : "de", "parse-names" : false, "suffix" : "" }, { "dropping-particle" : "", "family" : "Oers", "given" : "Lauran", "non-dropping-particle" : "van", "parse-names" : false, "suffix" : "" }, { "dropping-particle" : "", "family" : "Wegener Sleeswijk", "given" : "Anneke", "non-dropping-particle" : "", "parse-names" : false, "suffix" : "" }, { "dropping-particle" : "", "family" : "Suh", "given" : "Sangwon", "non-dropping-particle" : "", "parse-names" : false, "suffix" : "" }, { "dropping-particle" : "", "family" : "Udo de Haes", "given" : "Helias A.", "non-dropping-particle" : "", "parse-names" : false, "suffix" : "" } ], "id" : "ITEM-1", "issued" : { "date-parts" : [ [ "2002" ] ] }, "number-of-pages" : "687", "publisher" : "Springer Netherlands", "publisher-place" : "Dordrecht", "title" : "Handbook on Life Cycle Assessment", "type" : "book", "volume" : "7" }, "uris" : [ "http://www.mendeley.com/documents/?uuid=891d7c9b-4f36-4abf-8d27-3c9288436c5f" ] }, { "id" : "ITEM-2", "itemData" : { "DOI" : "10.1007/BF02994050", "ISSN" : "0948-3349", "abstract" : "Linoleum is a floor covering consisting mainly of linseed oil, other vegetable oils, wood flour and limestone on a carrier of jute. Forbo-Krommenie B.V. commissioned the Centre of Environmental Science (CML) to carry out an Environmental Life Cycle Assessment for linoleum floors. The goal of this study was to assess the environmental performance of linoleum floors, indicating possible options for improvement, and assessing the sensitivity of the results to methodological choices. The functional unit was defined as: 2000 m2 linoleum produced in 1998, used in an office or public building over a period of 20 years. The method followed in this study is based on a nearly final draft version of the LCA guide published by CML in corporation with many others, which is an update of the guide on LCA of 1992.", "author" : [ { "dropping-particle" : "", "family" : "Gorr\u00e9e", "given" : "Marieke", "non-dropping-particle" : "", "parse-names" : false, "suffix" : "" }, { "dropping-particle" : "", "family" : "Guin\u00e9e", "given" : "Jeroen B", "non-dropping-particle" : "", "parse-names" : false, "suffix" : "" }, { "dropping-particle" : "", "family" : "Huppes", "given" : "Gjalt", "non-dropping-particle" : "", "parse-names" : false, "suffix" : "" }, { "dropping-particle" : "van", "family" : "Oers", "given" : "Lauran", "non-dropping-particle" : "", "parse-names" : false, "suffix" : "" } ], "container-title" : "The International Journal of Life Cycle Assessment", "id" : "ITEM-2", "issue" : "3", "issued" : { "date-parts" : [ [ "2002", "5" ] ] }, "page" : "158-166", "title" : "Environmental life cycle assessment of linoleum", "type" : "article-journal", "volume" : "7" }, "uris" : [ "http://www.mendeley.com/documents/?uuid=29db1968-eab3-43a4-b302-9a02ce559926" ] } ], "mendeley" : { "formattedCitation" : "&lt;sup&gt;48,49&lt;/sup&gt;", "plainTextFormattedCitation" : "48,49", "previouslyFormattedCitation" : "&lt;sup&gt;48,49&lt;/sup&gt;" }, "properties" : {  }, "schema" : "https://github.com/citation-style-language/schema/raw/master/csl-citation.json" }</w:instrText>
      </w:r>
      <w:r w:rsidR="0099656C" w:rsidRPr="001B5503">
        <w:fldChar w:fldCharType="separate"/>
      </w:r>
      <w:r w:rsidR="00D67546" w:rsidRPr="00D67546">
        <w:rPr>
          <w:noProof/>
          <w:vertAlign w:val="superscript"/>
        </w:rPr>
        <w:t>48,49</w:t>
      </w:r>
      <w:r w:rsidR="0099656C" w:rsidRPr="001B5503">
        <w:fldChar w:fldCharType="end"/>
      </w:r>
      <w:r w:rsidR="000B296C" w:rsidRPr="001B5503">
        <w:t xml:space="preserve"> ADPF was updated to 2017</w:t>
      </w:r>
      <w:r w:rsidR="006237D1" w:rsidRPr="001B5503">
        <w:t>.</w:t>
      </w:r>
      <w:r w:rsidR="0099656C" w:rsidRPr="001B5503">
        <w:fldChar w:fldCharType="begin" w:fldLock="1"/>
      </w:r>
      <w:r w:rsidR="00D67546">
        <w:instrText>ADDIN CSL_CITATION { "citationItems" : [ { "id" : "ITEM-1", "itemData" : { "DOI" : "10.3133/70180197", "ISBN" : "978-1-4113-4104-3", "abstract" : "Each chapter of the 2017 edition of the U.S. Geological Survey (USGS) Mineral Commodity Summaries (MCS) includes information on events, trends, and issues for each mineral commodity as well as discussions and tabular presentations on domestic industry structure, Government programs, tariffs, 5-year salient statistics, and world production and resources. The MCS is the earliest comprehensive source of 2016 mineral production data for the world. More than 90 individual minerals and materials are covered by two-page synopses. For mineral commodities for which there is a Government stockpile, detailed information concerning the stockpile status is included in the two-page synopsis. Abbreviations and units of measure, and definitions of selected terms used in the report, are in Appendix A and Appendix B, respectively. \u201cAppendix C\u2014Reserves and Resources\u201d includes \u201cPart A\u2014Resource/Reserve Classification for Minerals\u201d and \u201cPart B\u2014Sources of Reserves Data.\u201d A directory of USGS minerals information country specialists and their assigned countries is Appendix D. The USGS continually strives to improve the value of its publications to users. Constructive comments and suggestions by readers of the MCS 2017 are welcomed.", "author" : [ { "dropping-particle" : "", "family" : "U.S. Geological Survey", "given" : "", "non-dropping-particle" : "", "parse-names" : false, "suffix" : "" } ], "id" : "ITEM-1", "issued" : { "date-parts" : [ [ "2017" ] ] }, "number-of-pages" : "1-202", "publisher-place" : "Reston, Virginia", "title" : "Mineral Commodities Summaries 2017", "type" : "report" }, "uris" : [ "http://www.mendeley.com/documents/?uuid=d46f3681-35be-43ba-9fc2-0229b77b7737" ] }, { "id" : "ITEM-2", "itemData" : { "ISBN" : "0-19-850340-7", "abstract" : "What is the most common element in the universe? Can you name the noble gases? Everything we see around us is made of chemical elements, but most of us know little about them. Penned by award-winning science writer John Emsley, Nature's Building Blocks explains the what, why and wherefore of the chemical elements. Arranged alphabetically, from Actinium to Zirconium, it is a complete guide to all 115 of those that are currently known, with more extensive coverage of those elements we encounter in our everyday life. The entry on each element reveals where it came from, what role it may have in the human body, and the foods that contain it. There are also sections on its discovery, its part in human health or illness, the uses and misuses to which it is put, and its environmental role. Readers discover that the Earth consists of around 90 elements, some of which are abundant, such as the silicon and oxygen of rocks and soils, while some are so rare that they make gold seem cheap. Our own bodies contain about 30 elements, some in abundance, some in trace amounts; some vital to our health, and some that are positively harmful. A list of the main scientific data, and outline properties, are given for every element and each section ends with an \"Element of Surprise,\" which highlights some unexpected way in which each element influences our everyday life. Both a reliable reference source and a high browsable account of the elements, Nature's Building Blocks offers a pleasurable tour of the very essence of our material world.", "author" : [ { "dropping-particle" : "", "family" : "Emsley", "given" : "John", "non-dropping-particle" : "", "parse-names" : false, "suffix" : "" } ], "id" : "ITEM-2", "issued" : { "date-parts" : [ [ "2001" ] ] }, "number-of-pages" : "1-538", "publisher" : "Oxford University Press", "publisher-place" : "Oxford", "title" : "Nature's Building Blocks: An A-Z Guide to the Elements", "type" : "book" }, "uris" : [ "http://www.mendeley.com/documents/?uuid=181f2e85-dc2d-4497-8d9b-1d89663b9210" ] } ], "mendeley" : { "formattedCitation" : "&lt;sup&gt;50,51&lt;/sup&gt;", "plainTextFormattedCitation" : "50,51", "previouslyFormattedCitation" : "&lt;sup&gt;50,51&lt;/sup&gt;" }, "properties" : {  }, "schema" : "https://github.com/citation-style-language/schema/raw/master/csl-citation.json" }</w:instrText>
      </w:r>
      <w:r w:rsidR="0099656C" w:rsidRPr="001B5503">
        <w:fldChar w:fldCharType="separate"/>
      </w:r>
      <w:r w:rsidR="00D67546" w:rsidRPr="00D67546">
        <w:rPr>
          <w:noProof/>
          <w:vertAlign w:val="superscript"/>
        </w:rPr>
        <w:t>50,51</w:t>
      </w:r>
      <w:r w:rsidR="0099656C" w:rsidRPr="001B5503">
        <w:fldChar w:fldCharType="end"/>
      </w:r>
      <w:r w:rsidR="007D3DD4">
        <w:t xml:space="preserve"> </w:t>
      </w:r>
      <w:r w:rsidR="000B296C" w:rsidRPr="001B5503">
        <w:t>Further details about the updating can be seen in the supplementary information.</w:t>
      </w:r>
    </w:p>
    <w:p w14:paraId="1BE3EDD4" w14:textId="77777777" w:rsidR="00796538" w:rsidRPr="001B5503" w:rsidRDefault="00796538" w:rsidP="00766525">
      <w:r w:rsidRPr="001B5503">
        <w:t>Nevertheless</w:t>
      </w:r>
      <w:r w:rsidR="006237D1" w:rsidRPr="001B5503">
        <w:t>,</w:t>
      </w:r>
      <w:r w:rsidR="007D3DD4">
        <w:t xml:space="preserve"> </w:t>
      </w:r>
      <w:r w:rsidRPr="001B5503">
        <w:t xml:space="preserve">the impact due to the different materials and processed employed in the fabrication of multiple cation/anion perovskites in comparison with canonical perovskite is evident when energy consumption is not considered in the total impacts, see Figure 2. </w:t>
      </w:r>
      <m:oMath>
        <m:sSub>
          <m:sSubPr>
            <m:ctrlPr>
              <w:rPr>
                <w:rFonts w:ascii="Cambria Math" w:hAnsi="Cambria Math"/>
              </w:rPr>
            </m:ctrlPr>
          </m:sSubPr>
          <m:e>
            <m:r>
              <w:rPr>
                <w:rFonts w:ascii="Cambria Math" w:hAnsi="Cambria Math"/>
              </w:rPr>
              <m:t>MA</m:t>
            </m:r>
          </m:e>
          <m:sub>
            <m:r>
              <w:rPr>
                <w:rFonts w:ascii="Cambria Math" w:hAnsi="Cambria Math"/>
              </w:rPr>
              <m:t>0.17</m:t>
            </m:r>
          </m:sub>
        </m:sSub>
        <m:sSub>
          <m:sSubPr>
            <m:ctrlPr>
              <w:rPr>
                <w:rFonts w:ascii="Cambria Math" w:hAnsi="Cambria Math"/>
              </w:rPr>
            </m:ctrlPr>
          </m:sSubPr>
          <m:e>
            <m:r>
              <w:rPr>
                <w:rFonts w:ascii="Cambria Math" w:hAnsi="Cambria Math"/>
              </w:rPr>
              <m:t>FA</m:t>
            </m:r>
          </m:e>
          <m:sub>
            <m:r>
              <w:rPr>
                <w:rFonts w:ascii="Cambria Math" w:hAnsi="Cambria Math"/>
              </w:rPr>
              <m:t>0.83</m:t>
            </m:r>
          </m:sub>
        </m:sSub>
        <m: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0.83</m:t>
                    </m:r>
                  </m:sub>
                </m:sSub>
                <m:sSub>
                  <m:sSubPr>
                    <m:ctrlPr>
                      <w:rPr>
                        <w:rFonts w:ascii="Cambria Math" w:hAnsi="Cambria Math"/>
                      </w:rPr>
                    </m:ctrlPr>
                  </m:sSubPr>
                  <m:e>
                    <m:r>
                      <w:rPr>
                        <w:rFonts w:ascii="Cambria Math" w:hAnsi="Cambria Math"/>
                      </w:rPr>
                      <m:t>Br</m:t>
                    </m:r>
                  </m:e>
                  <m:sub>
                    <m:r>
                      <w:rPr>
                        <w:rFonts w:ascii="Cambria Math" w:hAnsi="Cambria Math"/>
                      </w:rPr>
                      <m:t>0.17</m:t>
                    </m:r>
                  </m:sub>
                </m:sSub>
              </m:e>
            </m:d>
          </m:e>
          <m:sub>
            <m:r>
              <w:rPr>
                <w:rFonts w:ascii="Cambria Math" w:hAnsi="Cambria Math"/>
              </w:rPr>
              <m:t>3</m:t>
            </m:r>
          </m:sub>
        </m:sSub>
        <m:r>
          <m:rPr>
            <m:sty m:val="p"/>
          </m:rPr>
          <w:rPr>
            <w:rFonts w:ascii="Cambria Math" w:hAnsi="Cambria Math"/>
          </w:rPr>
          <m:t xml:space="preserve"> </m:t>
        </m:r>
      </m:oMath>
      <w:r w:rsidR="00F13AFE" w:rsidRPr="001B5503">
        <w:rPr>
          <w:rFonts w:eastAsiaTheme="minorEastAsia"/>
        </w:rPr>
        <w:t xml:space="preserve">is the most harmful perovskite, the impact of </w:t>
      </w:r>
      <w:r w:rsidR="00F13AFE" w:rsidRPr="001B5503">
        <w:t>multiple cation/anion perovskites</w:t>
      </w:r>
      <w:r w:rsidR="007D3DD4">
        <w:t xml:space="preserve"> </w:t>
      </w:r>
      <w:r w:rsidR="00F13AFE" w:rsidRPr="001B5503">
        <w:rPr>
          <w:rFonts w:eastAsiaTheme="minorEastAsia"/>
        </w:rPr>
        <w:t xml:space="preserve">decreases as the content of Cs increases. </w:t>
      </w:r>
      <w:r w:rsidR="00BD11EB" w:rsidRPr="001B5503">
        <w:rPr>
          <w:rFonts w:eastAsiaTheme="minorEastAsia"/>
        </w:rPr>
        <w:t xml:space="preserve">However, </w:t>
      </w:r>
      <w:r w:rsidR="00BD11EB" w:rsidRPr="001B5503">
        <w:t>with variations that</w:t>
      </w:r>
      <w:r w:rsidR="007D3DD4">
        <w:t xml:space="preserve"> </w:t>
      </w:r>
      <w:r w:rsidR="00BD11EB" w:rsidRPr="001B5503">
        <w:t>do not differ more than a 5% for any category. On the other hand, t</w:t>
      </w:r>
      <w:r w:rsidR="00F13AFE" w:rsidRPr="001B5503">
        <w:rPr>
          <w:rFonts w:eastAsiaTheme="minorEastAsia"/>
        </w:rPr>
        <w:t xml:space="preserve">he impacts of </w:t>
      </w:r>
      <w:r w:rsidRPr="001B5503">
        <w:t xml:space="preserve">canonical perovskite </w:t>
      </w:r>
      <w:r w:rsidR="003F1937">
        <w:t>are</w:t>
      </w:r>
      <w:r w:rsidR="00BD11EB" w:rsidRPr="001B5503">
        <w:t xml:space="preserve"> just 15-55% of the impact of </w:t>
      </w:r>
      <m:oMath>
        <m:sSub>
          <m:sSubPr>
            <m:ctrlPr>
              <w:rPr>
                <w:rFonts w:ascii="Cambria Math" w:hAnsi="Cambria Math"/>
              </w:rPr>
            </m:ctrlPr>
          </m:sSubPr>
          <m:e>
            <m:r>
              <w:rPr>
                <w:rFonts w:ascii="Cambria Math" w:hAnsi="Cambria Math"/>
              </w:rPr>
              <m:t>MA</m:t>
            </m:r>
          </m:e>
          <m:sub>
            <m:r>
              <w:rPr>
                <w:rFonts w:ascii="Cambria Math" w:hAnsi="Cambria Math"/>
              </w:rPr>
              <m:t>0.17</m:t>
            </m:r>
          </m:sub>
        </m:sSub>
        <m:sSub>
          <m:sSubPr>
            <m:ctrlPr>
              <w:rPr>
                <w:rFonts w:ascii="Cambria Math" w:hAnsi="Cambria Math"/>
              </w:rPr>
            </m:ctrlPr>
          </m:sSubPr>
          <m:e>
            <m:r>
              <w:rPr>
                <w:rFonts w:ascii="Cambria Math" w:hAnsi="Cambria Math"/>
              </w:rPr>
              <m:t>FA</m:t>
            </m:r>
          </m:e>
          <m:sub>
            <m:r>
              <w:rPr>
                <w:rFonts w:ascii="Cambria Math" w:hAnsi="Cambria Math"/>
              </w:rPr>
              <m:t>0.83</m:t>
            </m:r>
          </m:sub>
        </m:sSub>
        <m: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0.83</m:t>
                    </m:r>
                  </m:sub>
                </m:sSub>
                <m:sSub>
                  <m:sSubPr>
                    <m:ctrlPr>
                      <w:rPr>
                        <w:rFonts w:ascii="Cambria Math" w:hAnsi="Cambria Math"/>
                      </w:rPr>
                    </m:ctrlPr>
                  </m:sSubPr>
                  <m:e>
                    <m:r>
                      <w:rPr>
                        <w:rFonts w:ascii="Cambria Math" w:hAnsi="Cambria Math"/>
                      </w:rPr>
                      <m:t>Br</m:t>
                    </m:r>
                  </m:e>
                  <m:sub>
                    <m:r>
                      <w:rPr>
                        <w:rFonts w:ascii="Cambria Math" w:hAnsi="Cambria Math"/>
                      </w:rPr>
                      <m:t>0.17</m:t>
                    </m:r>
                  </m:sub>
                </m:sSub>
              </m:e>
            </m:d>
          </m:e>
          <m:sub>
            <m:r>
              <w:rPr>
                <w:rFonts w:ascii="Cambria Math" w:hAnsi="Cambria Math"/>
              </w:rPr>
              <m:t>3</m:t>
            </m:r>
          </m:sub>
        </m:sSub>
        <m:r>
          <m:rPr>
            <m:sty m:val="p"/>
          </m:rPr>
          <w:rPr>
            <w:rFonts w:ascii="Cambria Math" w:hAnsi="Cambria Math"/>
          </w:rPr>
          <m:t xml:space="preserve"> </m:t>
        </m:r>
      </m:oMath>
      <w:r w:rsidR="00BD11EB" w:rsidRPr="001B5503">
        <w:rPr>
          <w:rFonts w:eastAsiaTheme="minorEastAsia"/>
        </w:rPr>
        <w:t>perovskite, the most harmful one, depending on the impact category except for ADP where the canonical perovskite has more impact, for the reason previously commented.</w:t>
      </w:r>
    </w:p>
    <w:p w14:paraId="122796E4" w14:textId="77777777" w:rsidR="003B6CD9" w:rsidRPr="001B5503" w:rsidRDefault="0099656C" w:rsidP="003B6CD9">
      <w:r w:rsidRPr="001B5503">
        <w:fldChar w:fldCharType="begin"/>
      </w:r>
      <w:r w:rsidR="008A4B83" w:rsidRPr="001B5503">
        <w:instrText xml:space="preserve"> REF _Ref497813755 \h </w:instrText>
      </w:r>
      <w:r w:rsidRPr="001B5503">
        <w:fldChar w:fldCharType="separate"/>
      </w:r>
      <w:r w:rsidR="008A4B83" w:rsidRPr="001B5503">
        <w:t>Figure 2</w:t>
      </w:r>
      <w:r w:rsidRPr="001B5503">
        <w:fldChar w:fldCharType="end"/>
      </w:r>
      <w:r w:rsidR="007D3DD4">
        <w:t xml:space="preserve"> </w:t>
      </w:r>
      <w:r w:rsidR="008A4B83" w:rsidRPr="001B5503">
        <w:t>clearly reflect that the canonical perovskite is significantly less harmful than the multiple cation/anion perovskite</w:t>
      </w:r>
      <w:r w:rsidR="00513103" w:rsidRPr="001B5503">
        <w:t xml:space="preserve"> when energy use is not considered</w:t>
      </w:r>
      <w:r w:rsidR="008A4B83" w:rsidRPr="001B5503">
        <w:t>.</w:t>
      </w:r>
      <w:r w:rsidR="007D3DD4">
        <w:t xml:space="preserve"> </w:t>
      </w:r>
      <w:r w:rsidR="00595FC9" w:rsidRPr="001B5503">
        <w:t>A</w:t>
      </w:r>
      <w:r w:rsidR="003B6CD9" w:rsidRPr="001B5503">
        <w:t xml:space="preserve"> cl</w:t>
      </w:r>
      <w:r w:rsidR="00D33C99" w:rsidRPr="001B5503">
        <w:t>ose</w:t>
      </w:r>
      <w:r w:rsidR="003B6CD9" w:rsidRPr="001B5503">
        <w:t xml:space="preserve">r and </w:t>
      </w:r>
      <w:r w:rsidR="004A38EF" w:rsidRPr="001B5503">
        <w:t xml:space="preserve">more </w:t>
      </w:r>
      <w:r w:rsidR="003B6CD9" w:rsidRPr="001B5503">
        <w:t xml:space="preserve">precise view of the contributions of the reagents and the solvents for the deposition of the here studied compositions of </w:t>
      </w:r>
      <w:r w:rsidR="00BD11EB" w:rsidRPr="001B5503">
        <w:t>mult</w:t>
      </w:r>
      <w:r w:rsidR="003B6CD9" w:rsidRPr="001B5503">
        <w:t>ipl</w:t>
      </w:r>
      <w:r w:rsidR="00BD38AD" w:rsidRPr="001B5503">
        <w:t>e cation</w:t>
      </w:r>
      <w:r w:rsidR="00BD11EB" w:rsidRPr="001B5503">
        <w:t>/anion</w:t>
      </w:r>
      <w:r w:rsidR="00BD38AD" w:rsidRPr="001B5503">
        <w:t xml:space="preserve"> perovskite</w:t>
      </w:r>
      <w:r w:rsidR="007D3DD4">
        <w:t xml:space="preserve"> </w:t>
      </w:r>
      <w:r w:rsidR="00EB3239" w:rsidRPr="001B5503">
        <w:t xml:space="preserve">in comparison to the canonical perovskite </w:t>
      </w:r>
      <w:r w:rsidR="003B6CD9" w:rsidRPr="001B5503">
        <w:t xml:space="preserve">is detailed in </w:t>
      </w:r>
      <w:r w:rsidRPr="001B5503">
        <w:fldChar w:fldCharType="begin"/>
      </w:r>
      <w:r w:rsidR="003B6CD9" w:rsidRPr="001B5503">
        <w:instrText xml:space="preserve"> REF _Ref498022713 \h </w:instrText>
      </w:r>
      <w:r w:rsidRPr="001B5503">
        <w:fldChar w:fldCharType="separate"/>
      </w:r>
      <w:r w:rsidR="004A38EF" w:rsidRPr="001B5503">
        <w:t>Figure 3</w:t>
      </w:r>
      <w:r w:rsidRPr="001B5503">
        <w:fldChar w:fldCharType="end"/>
      </w:r>
      <w:r w:rsidR="003B6CD9" w:rsidRPr="001B5503">
        <w:t>.</w:t>
      </w:r>
      <w:r w:rsidR="007D3DD4">
        <w:t xml:space="preserve"> </w:t>
      </w:r>
      <w:r w:rsidR="00595FC9" w:rsidRPr="001B5503">
        <w:t>In this analysis</w:t>
      </w:r>
      <w:r w:rsidR="00BD38AD" w:rsidRPr="001B5503">
        <w:t>, the most determining categories to assess PSCs are selected</w:t>
      </w:r>
      <w:r w:rsidR="00DF7288" w:rsidRPr="001B5503">
        <w:t>, which are</w:t>
      </w:r>
      <w:r w:rsidR="00BD38AD" w:rsidRPr="001B5503">
        <w:t xml:space="preserve"> GWP, CED, HTC and HTNC.</w:t>
      </w:r>
    </w:p>
    <w:p w14:paraId="13D45723" w14:textId="77777777" w:rsidR="00FB4601" w:rsidRPr="001B5503" w:rsidRDefault="00FB4601" w:rsidP="00FB4601">
      <w:r w:rsidRPr="001B5503">
        <w:t xml:space="preserve">Lead reagents are </w:t>
      </w:r>
      <w:r w:rsidR="00117A64" w:rsidRPr="001B5503">
        <w:t>among</w:t>
      </w:r>
      <w:r w:rsidR="007D3DD4">
        <w:t xml:space="preserve"> </w:t>
      </w:r>
      <w:r w:rsidRPr="001B5503">
        <w:t>the most pernicious compounds</w:t>
      </w:r>
      <w:r w:rsidR="00E35087" w:rsidRPr="001B5503">
        <w:t>.</w:t>
      </w:r>
      <w:r w:rsidR="007D3DD4">
        <w:t xml:space="preserve"> </w:t>
      </w:r>
      <w:r w:rsidR="00E35087" w:rsidRPr="001B5503">
        <w:t xml:space="preserve">For HTC and HTNC categories, </w:t>
      </w:r>
      <w:r w:rsidR="004E42EE" w:rsidRPr="001B5503">
        <w:t>PbI</w:t>
      </w:r>
      <w:r w:rsidR="004E42EE" w:rsidRPr="001B5503">
        <w:rPr>
          <w:vertAlign w:val="subscript"/>
        </w:rPr>
        <w:t>2</w:t>
      </w:r>
      <w:r w:rsidR="004E42EE" w:rsidRPr="001B5503">
        <w:t xml:space="preserve"> i</w:t>
      </w:r>
      <w:r w:rsidR="00E35087" w:rsidRPr="001B5503">
        <w:t xml:space="preserve">s the major contributor to the overall impact, which is attributed to the larger quantity of it, used for the synthesis of the perovskites. However similar impact is produced by </w:t>
      </w:r>
      <w:r w:rsidRPr="001B5503">
        <w:t xml:space="preserve">the </w:t>
      </w:r>
      <w:r w:rsidR="004E42EE" w:rsidRPr="001B5503">
        <w:t>PbI</w:t>
      </w:r>
      <w:r w:rsidR="004E42EE" w:rsidRPr="001B5503">
        <w:rPr>
          <w:vertAlign w:val="subscript"/>
        </w:rPr>
        <w:t>2</w:t>
      </w:r>
      <w:r w:rsidR="007D3DD4">
        <w:t xml:space="preserve"> i</w:t>
      </w:r>
      <w:r w:rsidRPr="001B5503">
        <w:t xml:space="preserve">n canonical samples </w:t>
      </w:r>
      <w:r w:rsidR="00E35087" w:rsidRPr="001B5503">
        <w:t>that by</w:t>
      </w:r>
      <w:r w:rsidRPr="001B5503">
        <w:t xml:space="preserve"> the sum of the impacts originated by </w:t>
      </w:r>
      <w:r w:rsidR="004E42EE" w:rsidRPr="001B5503">
        <w:t>PbI</w:t>
      </w:r>
      <w:r w:rsidR="004E42EE" w:rsidRPr="001B5503">
        <w:rPr>
          <w:vertAlign w:val="subscript"/>
        </w:rPr>
        <w:t>2</w:t>
      </w:r>
      <w:r w:rsidRPr="001B5503">
        <w:t xml:space="preserve"> plus </w:t>
      </w:r>
      <w:r w:rsidR="004E42EE" w:rsidRPr="001B5503">
        <w:t>PbBr</w:t>
      </w:r>
      <w:r w:rsidR="004E42EE" w:rsidRPr="001B5503">
        <w:rPr>
          <w:vertAlign w:val="subscript"/>
        </w:rPr>
        <w:t>2</w:t>
      </w:r>
      <w:r w:rsidRPr="001B5503">
        <w:t xml:space="preserve"> in multiple catio</w:t>
      </w:r>
      <w:r w:rsidR="00E35087" w:rsidRPr="001B5503">
        <w:t>n</w:t>
      </w:r>
      <w:r w:rsidRPr="001B5503">
        <w:t xml:space="preserve">/anion </w:t>
      </w:r>
      <w:r w:rsidR="00E35087" w:rsidRPr="001B5503">
        <w:t xml:space="preserve">perovskite </w:t>
      </w:r>
      <w:r w:rsidRPr="001B5503">
        <w:t>layers</w:t>
      </w:r>
      <w:r w:rsidR="00E35087" w:rsidRPr="001B5503">
        <w:t>.</w:t>
      </w:r>
      <w:r w:rsidR="0047400C">
        <w:t xml:space="preserve"> </w:t>
      </w:r>
      <w:r w:rsidR="00E35087" w:rsidRPr="001B5503">
        <w:t xml:space="preserve">The huge differences in the impacts among multiple cation/anion and canonical perovskite layers are due to the use in the formers of </w:t>
      </w:r>
      <w:r w:rsidR="004E42EE" w:rsidRPr="001B5503">
        <w:t>CB</w:t>
      </w:r>
      <w:r w:rsidR="00E35087" w:rsidRPr="001B5503">
        <w:t xml:space="preserve"> in the anti</w:t>
      </w:r>
      <w:r w:rsidR="00E17318" w:rsidRPr="001B5503">
        <w:t>-</w:t>
      </w:r>
      <w:r w:rsidR="00E35087" w:rsidRPr="001B5503">
        <w:t>solv</w:t>
      </w:r>
      <w:r w:rsidR="00E17318" w:rsidRPr="001B5503">
        <w:t>ent</w:t>
      </w:r>
      <w:r w:rsidR="00E35087" w:rsidRPr="001B5503">
        <w:t xml:space="preserve"> method and FAI instead of MAI, where the latest generates less impacts. C</w:t>
      </w:r>
      <w:r w:rsidR="004E42EE" w:rsidRPr="001B5503">
        <w:t>B</w:t>
      </w:r>
      <w:r w:rsidRPr="001B5503">
        <w:t xml:space="preserve"> used for the anti-solvent method has a slightly lower impact for HTC and HTNC impacts. However, for GWP and CED categories </w:t>
      </w:r>
      <w:r w:rsidR="004E42EE" w:rsidRPr="001B5503">
        <w:t>CB</w:t>
      </w:r>
      <w:r w:rsidRPr="001B5503">
        <w:t xml:space="preserve"> is responsible of the highest contribution to the overall impact, where </w:t>
      </w:r>
      <w:r w:rsidR="004E42EE" w:rsidRPr="001B5503">
        <w:t>PbI</w:t>
      </w:r>
      <w:r w:rsidR="004E42EE" w:rsidRPr="001B5503">
        <w:rPr>
          <w:vertAlign w:val="subscript"/>
        </w:rPr>
        <w:t>2</w:t>
      </w:r>
      <w:r w:rsidRPr="001B5503">
        <w:t xml:space="preserve"> is the second most contributing compound. The great contribution of </w:t>
      </w:r>
      <w:r w:rsidR="004E42EE" w:rsidRPr="001B5503">
        <w:t>CB</w:t>
      </w:r>
      <w:r w:rsidRPr="001B5503">
        <w:t xml:space="preserve"> stems from the fact that its amount used is the highest among all compounds, despite its little impact per kg in comparison with </w:t>
      </w:r>
      <w:r w:rsidR="004E42EE" w:rsidRPr="001B5503">
        <w:t>PbI</w:t>
      </w:r>
      <w:r w:rsidR="004E42EE" w:rsidRPr="001B5503">
        <w:rPr>
          <w:vertAlign w:val="subscript"/>
        </w:rPr>
        <w:t>2</w:t>
      </w:r>
      <w:r w:rsidRPr="001B5503">
        <w:t xml:space="preserve">. Impact improvements of a possible optimisation of </w:t>
      </w:r>
      <w:r w:rsidR="004E42EE" w:rsidRPr="001B5503">
        <w:t>CB</w:t>
      </w:r>
      <w:r w:rsidRPr="001B5503">
        <w:t xml:space="preserve"> are analysed in the supplementary information.</w:t>
      </w:r>
      <w:r w:rsidR="0047400C">
        <w:t xml:space="preserve"> </w:t>
      </w:r>
      <w:r w:rsidRPr="001B5503">
        <w:t xml:space="preserve">Results of this analysis disclose that despite the reductions in chlorobenzene usage, except for the ADP category, overall impacts of </w:t>
      </w:r>
      <w:r w:rsidR="00E35087" w:rsidRPr="001B5503">
        <w:t>multi</w:t>
      </w:r>
      <w:r w:rsidRPr="001B5503">
        <w:t>ple cation</w:t>
      </w:r>
      <w:r w:rsidR="00E35087" w:rsidRPr="001B5503">
        <w:t>/anion</w:t>
      </w:r>
      <w:r w:rsidRPr="001B5503">
        <w:t xml:space="preserve"> perovskites would not reach the impact extent of the canonical perovskite shown in </w:t>
      </w:r>
      <w:r w:rsidR="0099656C" w:rsidRPr="001B5503">
        <w:fldChar w:fldCharType="begin"/>
      </w:r>
      <w:r w:rsidRPr="001B5503">
        <w:instrText xml:space="preserve"> REF _Ref497813755 \h </w:instrText>
      </w:r>
      <w:r w:rsidR="0099656C" w:rsidRPr="001B5503">
        <w:fldChar w:fldCharType="separate"/>
      </w:r>
      <w:r w:rsidRPr="001B5503">
        <w:t>Figure 2</w:t>
      </w:r>
      <w:r w:rsidR="0099656C" w:rsidRPr="001B5503">
        <w:fldChar w:fldCharType="end"/>
      </w:r>
      <w:r w:rsidRPr="001B5503">
        <w:t>.</w:t>
      </w:r>
      <w:r w:rsidR="00E35087" w:rsidRPr="001B5503">
        <w:t xml:space="preserve"> The up</w:t>
      </w:r>
      <w:r w:rsidR="004E42EE" w:rsidRPr="001B5503">
        <w:t>-</w:t>
      </w:r>
      <w:r w:rsidR="00E35087" w:rsidRPr="001B5503">
        <w:t>scaling of anti</w:t>
      </w:r>
      <w:r w:rsidR="004E42EE" w:rsidRPr="001B5503">
        <w:t>-</w:t>
      </w:r>
      <w:r w:rsidR="00E35087" w:rsidRPr="001B5503">
        <w:t xml:space="preserve">solvent technology to move from lab scale cell to large substrates is not </w:t>
      </w:r>
      <w:r w:rsidR="00F63FD6" w:rsidRPr="001B5503">
        <w:t>straightforward at all from the technological point of view</w:t>
      </w:r>
      <w:r w:rsidR="00C32BC0" w:rsidRPr="001B5503">
        <w:t>.</w:t>
      </w:r>
      <w:r w:rsidR="0099656C" w:rsidRPr="001B5503">
        <w:fldChar w:fldCharType="begin" w:fldLock="1"/>
      </w:r>
      <w:r w:rsidR="00D67546">
        <w:instrText>ADDIN CSL_CITATION { "citationItems" : [ { "id" : "ITEM-1", "itemData" : { "DOI" : "10.1002/adfm.201703835", "ISSN" : "1616301X", "abstract" : "Mixed cation hybrid perovskites such as CsxFA1- xPbI3 are promising materials for solar cell applications, due to their excellent photoelectronic properties and improved stability. Although power conversion efficiencies (PCEs) as high as 18.16% have been reported, devices are mostly processed by the anti-solvent method, which is difficult for further scaling-up. Here, a method to fabricate CsxFA1- xPbI3 by performing Cs cation exchange on hybrid chemical vapor deposition grown FAPbI3 with the Cs+ ratio adjustable from 0 to 24% is reported. The champion perovskite module based on Cs0.07FA0.93PbI3 with an active area of 12.0 cm2 shows a module PCE of 14.6% and PCE loss/area of 0.17% cm-2, demonstrating the significant advantage of this method toward scaling-up. This in-depth study shows that when the perovskite films prepared by this method contain 6.6% Cs+ in bulk and 15.0% at the surface, that is, Cs0.07FA0.93PbI3, solar cell devices show not only significantly increased PCEs but also substantially improved stability, due to favorable energy level alignment with TiO2 electron transport layer and spiro-MeOTAD hole transport layer, increased grain size, and improved perovskite phase stability.", "author" : [ { "dropping-particle" : "", "family" : "Jiang", "given" : "Yan", "non-dropping-particle" : "", "parse-names" : false, "suffix" : "" }, { "dropping-particle" : "", "family" : "Leyden", "given" : "Matthew R.", "non-dropping-particle" : "", "parse-names" : false, "suffix" : "" }, { "dropping-particle" : "", "family" : "Qiu", "given" : "Longbin", "non-dropping-particle" : "", "parse-names" : false, "suffix" : "" }, { "dropping-particle" : "", "family" : "Wang", "given" : "Shenghao", "non-dropping-particle" : "", "parse-names" : false, "suffix" : "" }, { "dropping-particle" : "", "family" : "Ono", "given" : "Luis K.", "non-dropping-particle" : "", "parse-names" : false, "suffix" : "" }, { "dropping-particle" : "", "family" : "Wu", "given" : "Zhifang", "non-dropping-particle" : "", "parse-names" : false, "suffix" : "" }, { "dropping-particle" : "", "family" : "Juarez-Perez", "given" : "Emilio J.", "non-dropping-particle" : "", "parse-names" : false, "suffix" : "" }, { "dropping-particle" : "", "family" : "Qi", "given" : "Yabing", "non-dropping-particle" : "", "parse-names" : false, "suffix" : "" } ], "container-title" : "Advanced Functional Materials", "id" : "ITEM-1", "issue" : "1", "issued" : { "date-parts" : [ [ "2018", "1" ] ] }, "page" : "1703835", "title" : "Combination of Hybrid CVD and Cation Exchange for Upscaling Cs-Substituted Mixed Cation Perovskite Solar Cells with High Efficiency and Stability", "type" : "article-journal", "volume" : "28" }, "uris" : [ "http://www.mendeley.com/documents/?uuid=27bb696d-4f6c-4a9a-a499-babc36922eff" ] } ], "mendeley" : { "formattedCitation" : "&lt;sup&gt;43&lt;/sup&gt;", "plainTextFormattedCitation" : "43", "previouslyFormattedCitation" : "&lt;sup&gt;43&lt;/sup&gt;" }, "properties" : {  }, "schema" : "https://github.com/citation-style-language/schema/raw/master/csl-citation.json" }</w:instrText>
      </w:r>
      <w:r w:rsidR="0099656C" w:rsidRPr="001B5503">
        <w:fldChar w:fldCharType="separate"/>
      </w:r>
      <w:r w:rsidR="00D67546" w:rsidRPr="00D67546">
        <w:rPr>
          <w:noProof/>
          <w:vertAlign w:val="superscript"/>
        </w:rPr>
        <w:t>43</w:t>
      </w:r>
      <w:r w:rsidR="0099656C" w:rsidRPr="001B5503">
        <w:fldChar w:fldCharType="end"/>
      </w:r>
      <w:r w:rsidR="00F63FD6" w:rsidRPr="001B5503">
        <w:t xml:space="preserve"> Here we show that </w:t>
      </w:r>
      <w:r w:rsidR="004E42EE" w:rsidRPr="001B5503">
        <w:t>anti-solv</w:t>
      </w:r>
      <w:r w:rsidR="00C32BC0" w:rsidRPr="001B5503">
        <w:t>ent</w:t>
      </w:r>
      <w:r w:rsidR="004E42EE" w:rsidRPr="001B5503">
        <w:t xml:space="preserve"> method</w:t>
      </w:r>
      <w:r w:rsidR="00F63FD6" w:rsidRPr="001B5503">
        <w:t xml:space="preserve"> also has an important deleterious effect on the impacts generated and consequently should be exchanged by a lower impact method in the future commercialization of perovskites.</w:t>
      </w:r>
    </w:p>
    <w:p w14:paraId="541F96EE" w14:textId="77777777" w:rsidR="008E77C9" w:rsidRPr="001B5503" w:rsidRDefault="00DD4F31" w:rsidP="008E77C9">
      <w:pPr>
        <w:keepNext/>
      </w:pPr>
      <w:r w:rsidRPr="001B5503">
        <w:rPr>
          <w:noProof/>
          <w:lang w:val="es-ES_tradnl" w:eastAsia="es-ES_tradnl"/>
        </w:rPr>
        <w:lastRenderedPageBreak/>
        <w:drawing>
          <wp:inline distT="0" distB="0" distL="0" distR="0" wp14:anchorId="6C18138C" wp14:editId="72B2C7AF">
            <wp:extent cx="5400000" cy="3384000"/>
            <wp:effectExtent l="0" t="0" r="0" b="6985"/>
            <wp:docPr id="1"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46BF4ED-4CCA-42D7-854C-6F028DCE8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EE11A9" w14:textId="77777777" w:rsidR="008C180F" w:rsidRPr="001B5503" w:rsidRDefault="008E77C9" w:rsidP="00363920">
      <w:pPr>
        <w:pStyle w:val="Ttolfigura"/>
      </w:pPr>
      <w:bookmarkStart w:id="11" w:name="_Ref498022713"/>
      <w:r w:rsidRPr="001B5503">
        <w:t xml:space="preserve">Figure </w:t>
      </w:r>
      <w:r w:rsidR="0099656C" w:rsidRPr="001B5503">
        <w:fldChar w:fldCharType="begin"/>
      </w:r>
      <w:r w:rsidRPr="001B5503">
        <w:instrText xml:space="preserve"> SEQ Figure \* ARABIC </w:instrText>
      </w:r>
      <w:r w:rsidR="0099656C" w:rsidRPr="001B5503">
        <w:fldChar w:fldCharType="separate"/>
      </w:r>
      <w:r w:rsidR="004A38EF" w:rsidRPr="001B5503">
        <w:t>3</w:t>
      </w:r>
      <w:r w:rsidR="0099656C" w:rsidRPr="001B5503">
        <w:fldChar w:fldCharType="end"/>
      </w:r>
      <w:bookmarkEnd w:id="11"/>
      <w:r w:rsidR="00770210" w:rsidRPr="001B5503">
        <w:t>.</w:t>
      </w:r>
      <w:r w:rsidR="00BD11EB" w:rsidRPr="001B5503">
        <w:rPr>
          <w:b w:val="0"/>
        </w:rPr>
        <w:t xml:space="preserve"> R</w:t>
      </w:r>
      <w:r w:rsidR="002741DB" w:rsidRPr="001B5503">
        <w:rPr>
          <w:b w:val="0"/>
        </w:rPr>
        <w:t xml:space="preserve">elative impacts of </w:t>
      </w:r>
      <w:r w:rsidR="003434F7" w:rsidRPr="001B5503">
        <w:rPr>
          <w:b w:val="0"/>
        </w:rPr>
        <w:t>materials</w:t>
      </w:r>
      <w:r w:rsidR="002741DB" w:rsidRPr="001B5503">
        <w:rPr>
          <w:b w:val="0"/>
        </w:rPr>
        <w:t xml:space="preserve"> for PSCs </w:t>
      </w:r>
      <w:r w:rsidR="003434F7" w:rsidRPr="001B5503">
        <w:rPr>
          <w:b w:val="0"/>
        </w:rPr>
        <w:t xml:space="preserve">with proportions of caesium of </w:t>
      </w:r>
      <w:r w:rsidR="0016394B" w:rsidRPr="001B5503">
        <w:rPr>
          <w:b w:val="0"/>
        </w:rPr>
        <w:t>x = 0</w:t>
      </w:r>
      <w:r w:rsidR="003434F7" w:rsidRPr="001B5503">
        <w:rPr>
          <w:b w:val="0"/>
        </w:rPr>
        <w:t xml:space="preserve">, </w:t>
      </w:r>
      <w:r w:rsidR="0016394B" w:rsidRPr="001B5503">
        <w:rPr>
          <w:b w:val="0"/>
        </w:rPr>
        <w:t>x = 0.05</w:t>
      </w:r>
      <w:r w:rsidR="003434F7" w:rsidRPr="001B5503">
        <w:rPr>
          <w:b w:val="0"/>
        </w:rPr>
        <w:t xml:space="preserve">, </w:t>
      </w:r>
      <w:r w:rsidR="0016394B" w:rsidRPr="001B5503">
        <w:rPr>
          <w:b w:val="0"/>
        </w:rPr>
        <w:t>x = 0.</w:t>
      </w:r>
      <w:r w:rsidR="003434F7" w:rsidRPr="001B5503">
        <w:rPr>
          <w:b w:val="0"/>
        </w:rPr>
        <w:t xml:space="preserve">10 and </w:t>
      </w:r>
      <w:r w:rsidR="0016394B" w:rsidRPr="001B5503">
        <w:rPr>
          <w:b w:val="0"/>
        </w:rPr>
        <w:t>x = 0.</w:t>
      </w:r>
      <w:r w:rsidR="003434F7" w:rsidRPr="001B5503">
        <w:rPr>
          <w:b w:val="0"/>
        </w:rPr>
        <w:t>15 at the perovskite cationic position</w:t>
      </w:r>
      <w:r w:rsidR="00293371" w:rsidRPr="001B5503">
        <w:rPr>
          <w:b w:val="0"/>
        </w:rPr>
        <w:t>.</w:t>
      </w:r>
      <w:r w:rsidR="009D4FA8" w:rsidRPr="001B5503">
        <w:rPr>
          <w:b w:val="0"/>
        </w:rPr>
        <w:t xml:space="preserve"> Impact categories: Global warming potential (GWP), Cumulative energy demand (CED), Human toxicity, cancer (HTC), and Human toxicity, non-cancer (HTNC).</w:t>
      </w:r>
    </w:p>
    <w:p w14:paraId="7A285B21" w14:textId="77777777" w:rsidR="00791A15" w:rsidRPr="001B5503" w:rsidRDefault="003B6CD9" w:rsidP="003B6CD9">
      <w:r w:rsidRPr="001B5503">
        <w:t xml:space="preserve">Among the reagents that supply the three cations, FAI emerges </w:t>
      </w:r>
      <w:r w:rsidR="00F63FD6" w:rsidRPr="001B5503">
        <w:t xml:space="preserve">as </w:t>
      </w:r>
      <w:r w:rsidRPr="001B5503">
        <w:t>the most adverse, which is also the reagent that mostly varies along compositions and therefore the reagent that</w:t>
      </w:r>
      <w:r w:rsidR="00220F37" w:rsidRPr="001B5503">
        <w:t xml:space="preserve"> eventually</w:t>
      </w:r>
      <w:r w:rsidRPr="001B5503">
        <w:t xml:space="preserve"> determines the result.</w:t>
      </w:r>
      <w:r w:rsidR="0084720F" w:rsidRPr="001B5503">
        <w:t xml:space="preserve"> Most of </w:t>
      </w:r>
      <w:r w:rsidR="0086552E" w:rsidRPr="001B5503">
        <w:t>its</w:t>
      </w:r>
      <w:r w:rsidR="0084720F" w:rsidRPr="001B5503">
        <w:t xml:space="preserve"> impact </w:t>
      </w:r>
      <w:r w:rsidR="0086552E" w:rsidRPr="001B5503">
        <w:t>stems from the energy used to synthesise it</w:t>
      </w:r>
      <w:r w:rsidR="005D1A90" w:rsidRPr="001B5503">
        <w:t xml:space="preserve">, as its synthesis from </w:t>
      </w:r>
      <w:r w:rsidR="00791A15" w:rsidRPr="001B5503">
        <w:t>hydroiodic acid and formamidine</w:t>
      </w:r>
      <w:r w:rsidR="0047400C">
        <w:t xml:space="preserve"> </w:t>
      </w:r>
      <w:r w:rsidR="009D4E8D" w:rsidRPr="001B5503">
        <w:t>acetate</w:t>
      </w:r>
      <w:r w:rsidR="00791A15" w:rsidRPr="001B5503">
        <w:t xml:space="preserve"> is performed in laboratory environment</w:t>
      </w:r>
      <w:r w:rsidR="0086552E" w:rsidRPr="001B5503">
        <w:t>.</w:t>
      </w:r>
      <w:r w:rsidR="00791A15" w:rsidRPr="001B5503">
        <w:t xml:space="preserve"> In particular, the most </w:t>
      </w:r>
      <w:r w:rsidR="009D4E8D" w:rsidRPr="001B5503">
        <w:t>detrimental step of this process is a final treatment in a vacuum oven at 60 ºC for 24 h.</w:t>
      </w:r>
      <w:r w:rsidR="0099656C" w:rsidRPr="001B5503">
        <w:fldChar w:fldCharType="begin" w:fldLock="1"/>
      </w:r>
      <w:r w:rsidR="009D4E8D" w:rsidRPr="001B5503">
        <w:instrText>ADDIN CSL_CITATION { "citationItems" : [ { "id" : "ITEM-1",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"ITEM-1",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"mendeley" : { "formattedCitation" : "&lt;sup&gt;4&lt;/sup&gt;", "plainTextFormattedCitation" : "4", "previouslyFormattedCitation" : "&lt;sup&gt;4&lt;/sup&gt;" }, "properties" : {  }, "schema" : "https://github.com/citation-style-language/schema/raw/master/csl-citation.json" }</w:instrText>
      </w:r>
      <w:r w:rsidR="0099656C" w:rsidRPr="001B5503">
        <w:fldChar w:fldCharType="separate"/>
      </w:r>
      <w:r w:rsidR="009D4E8D" w:rsidRPr="001B5503">
        <w:rPr>
          <w:noProof/>
          <w:vertAlign w:val="superscript"/>
        </w:rPr>
        <w:t>4</w:t>
      </w:r>
      <w:r w:rsidR="0099656C" w:rsidRPr="001B5503">
        <w:fldChar w:fldCharType="end"/>
      </w:r>
      <w:r w:rsidR="009D4E8D" w:rsidRPr="001B5503">
        <w:t xml:space="preserve"> By reducing the operational time of this treatment impacts of multiple cation/anion perovskite would not decrease as much as those of the canonical perovskite. Nonetheless, for GWP, CED, HTC and HTNC categories</w:t>
      </w:r>
      <w:r w:rsidR="00BB42DF" w:rsidRPr="001B5503">
        <w:t>,</w:t>
      </w:r>
      <w:r w:rsidR="009D4E8D" w:rsidRPr="001B5503">
        <w:t xml:space="preserve"> impact of </w:t>
      </w:r>
      <w:r w:rsidR="004B386B" w:rsidRPr="001B5503">
        <w:t>FAI</w:t>
      </w:r>
      <w:r w:rsidR="009D4E8D" w:rsidRPr="001B5503">
        <w:t xml:space="preserve"> is less adverse than</w:t>
      </w:r>
      <w:r w:rsidR="004B386B" w:rsidRPr="001B5503">
        <w:t xml:space="preserve"> that of the cation supplier reagent for canonical perovskite (MAI) when this operational time goes below 6 hours.</w:t>
      </w:r>
    </w:p>
    <w:p w14:paraId="793CFFEA" w14:textId="77777777" w:rsidR="003B6CD9" w:rsidRPr="001B5503" w:rsidRDefault="003B6CD9" w:rsidP="003B6CD9">
      <w:r w:rsidRPr="001B5503">
        <w:t xml:space="preserve">Meanwhile, contribution of MABr is vague </w:t>
      </w:r>
      <w:r w:rsidR="006B29A9" w:rsidRPr="001B5503">
        <w:t>and contribution of CsI is not</w:t>
      </w:r>
      <w:r w:rsidRPr="001B5503">
        <w:t xml:space="preserve"> visible due to a little amount of them is used. Alongside with the fact that more amount of </w:t>
      </w:r>
      <w:r w:rsidR="00F63FD6" w:rsidRPr="001B5503">
        <w:t>FAI</w:t>
      </w:r>
      <w:r w:rsidRPr="001B5503">
        <w:t xml:space="preserve"> is used for the synthesis of </w:t>
      </w:r>
      <w:r w:rsidR="00F63FD6" w:rsidRPr="001B5503">
        <w:t>multi</w:t>
      </w:r>
      <w:r w:rsidRPr="001B5503">
        <w:t>ple cation</w:t>
      </w:r>
      <w:r w:rsidR="00F63FD6" w:rsidRPr="001B5503">
        <w:t>/anion</w:t>
      </w:r>
      <w:r w:rsidRPr="001B5503">
        <w:t xml:space="preserve"> perovskite, its impact per kg of reagent is the highest of the thr</w:t>
      </w:r>
      <w:r w:rsidR="00F63FD6" w:rsidRPr="001B5503">
        <w:t xml:space="preserve">ee reagents that supply cations, making the </w:t>
      </w:r>
      <m:oMath>
        <m:sSub>
          <m:sSubPr>
            <m:ctrlPr>
              <w:rPr>
                <w:rFonts w:ascii="Cambria Math" w:hAnsi="Cambria Math"/>
              </w:rPr>
            </m:ctrlPr>
          </m:sSubPr>
          <m:e>
            <m:r>
              <w:rPr>
                <w:rFonts w:ascii="Cambria Math" w:hAnsi="Cambria Math"/>
              </w:rPr>
              <m:t>MA</m:t>
            </m:r>
          </m:e>
          <m:sub>
            <m:r>
              <w:rPr>
                <w:rFonts w:ascii="Cambria Math" w:hAnsi="Cambria Math"/>
              </w:rPr>
              <m:t>0.17</m:t>
            </m:r>
          </m:sub>
        </m:sSub>
        <m:sSub>
          <m:sSubPr>
            <m:ctrlPr>
              <w:rPr>
                <w:rFonts w:ascii="Cambria Math" w:hAnsi="Cambria Math"/>
              </w:rPr>
            </m:ctrlPr>
          </m:sSubPr>
          <m:e>
            <m:r>
              <w:rPr>
                <w:rFonts w:ascii="Cambria Math" w:hAnsi="Cambria Math"/>
              </w:rPr>
              <m:t>FA</m:t>
            </m:r>
          </m:e>
          <m:sub>
            <m:r>
              <w:rPr>
                <w:rFonts w:ascii="Cambria Math" w:hAnsi="Cambria Math"/>
              </w:rPr>
              <m:t>0.83</m:t>
            </m:r>
          </m:sub>
        </m:sSub>
        <m:r>
          <w:rPr>
            <w:rFonts w:ascii="Cambria Math" w:hAnsi="Cambria Math"/>
          </w:rPr>
          <m:t>Pb</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0.83</m:t>
                    </m:r>
                  </m:sub>
                </m:sSub>
                <m:sSub>
                  <m:sSubPr>
                    <m:ctrlPr>
                      <w:rPr>
                        <w:rFonts w:ascii="Cambria Math" w:hAnsi="Cambria Math"/>
                      </w:rPr>
                    </m:ctrlPr>
                  </m:sSubPr>
                  <m:e>
                    <m:r>
                      <w:rPr>
                        <w:rFonts w:ascii="Cambria Math" w:hAnsi="Cambria Math"/>
                      </w:rPr>
                      <m:t>Br</m:t>
                    </m:r>
                  </m:e>
                  <m:sub>
                    <m:r>
                      <w:rPr>
                        <w:rFonts w:ascii="Cambria Math" w:hAnsi="Cambria Math"/>
                      </w:rPr>
                      <m:t>0.17</m:t>
                    </m:r>
                  </m:sub>
                </m:sSub>
              </m:e>
            </m:d>
          </m:e>
          <m:sub>
            <m:r>
              <w:rPr>
                <w:rFonts w:ascii="Cambria Math" w:hAnsi="Cambria Math"/>
              </w:rPr>
              <m:t>3</m:t>
            </m:r>
          </m:sub>
        </m:sSub>
      </m:oMath>
      <w:r w:rsidR="0047400C">
        <w:rPr>
          <w:rFonts w:eastAsiaTheme="minorEastAsia"/>
        </w:rPr>
        <w:t xml:space="preserve"> p</w:t>
      </w:r>
      <w:r w:rsidR="00F63FD6" w:rsidRPr="001B5503">
        <w:rPr>
          <w:rFonts w:eastAsiaTheme="minorEastAsia"/>
        </w:rPr>
        <w:t>erovskite the most harmful, where the impact is reduced when x increases due to the fact that less FAI is used as it is partially substituted by CsI.</w:t>
      </w:r>
    </w:p>
    <w:p w14:paraId="3432A8D2" w14:textId="77777777" w:rsidR="003B6CD9" w:rsidRPr="001B5503" w:rsidRDefault="00875A48" w:rsidP="003B6CD9">
      <w:r w:rsidRPr="001B5503">
        <w:t>Usage of solvents produces a considerable l</w:t>
      </w:r>
      <w:r w:rsidR="00F63FD6" w:rsidRPr="001B5503">
        <w:t>ess</w:t>
      </w:r>
      <w:r w:rsidRPr="001B5503">
        <w:t>er</w:t>
      </w:r>
      <w:r w:rsidR="00F63FD6" w:rsidRPr="001B5503">
        <w:t xml:space="preserve"> impact </w:t>
      </w:r>
      <w:r w:rsidRPr="001B5503">
        <w:t>respect to</w:t>
      </w:r>
      <w:r w:rsidR="00F63FD6" w:rsidRPr="001B5503">
        <w:t xml:space="preserve"> the reagents. </w:t>
      </w:r>
      <w:r w:rsidR="003B6CD9" w:rsidRPr="001B5503">
        <w:t>DMF solvent causes a superior impact than DMSO</w:t>
      </w:r>
      <w:r w:rsidR="00624F09" w:rsidRPr="001B5503">
        <w:t xml:space="preserve">, both considerably inferior to that of </w:t>
      </w:r>
      <w:r w:rsidR="004E42EE" w:rsidRPr="001B5503">
        <w:t>CB</w:t>
      </w:r>
      <w:r w:rsidR="003B6CD9" w:rsidRPr="001B5503">
        <w:t>.</w:t>
      </w:r>
      <w:r w:rsidR="0047400C">
        <w:t xml:space="preserve"> </w:t>
      </w:r>
      <w:r w:rsidR="003B6CD9" w:rsidRPr="001B5503">
        <w:t>In contrast to preceding works</w:t>
      </w:r>
      <w:r w:rsidRPr="001B5503">
        <w:t>,</w:t>
      </w:r>
      <w:r w:rsidR="0099656C" w:rsidRPr="001B5503">
        <w:fldChar w:fldCharType="begin" w:fldLock="1"/>
      </w:r>
      <w:r w:rsidR="00D67546">
        <w:instrText>ADDIN CSL_CITATION { "citationItems" : [ { "id" : "ITEM-1", "itemData" : { "DOI" : "10.1016/j.solmat.2017.03.008", "ISSN" : "09270248", "abstract" : "Perovskite solar cells have attracted enormous attention due to their low cost and high power conversion efficiency. However, the use of toxic metals such as lead in the perovskite dye and the disposal methods of perovskite solar cells cause grave concerns about their environmental impacts. Inorganic and lead-free perovskite solar cells have been developed to overcome the disadvantages of lead-based organic perovskite solar cells, a development that involves different materials and manufacturing processes to fabricate different perovskite solar cells. In order to understand and develop an environmentally friendly perovskite solar cell technology, comprehensive environmental impact assessments have been conducted in this study on five typical perovskite solar cells, using an attributional life cycle assessment (LCA) approach. The results indicate that MAPbI3 and FAPbI3 perovskite solar cells have relatively larger environmental impacts than MASnI3\u2212xBrx, CsPbBr3, and MAPbI2Cl perovskite solar cells based on a 1 cm2 active area solar cell system, and this result can be explained by the different amounts of organic solvents used in the device fabrication. In addition, gold production makes the largest environmental impact contribution to perovskite solar cell systems, and the substitution of silver or aluminum for gold can significantly reduce the total environmental impact scores. For disposal methods, incineration with energy recovery is found better than landfill.", "author" : [ { "dropping-particle" : "", "family" : "Zhang", "given" : "Jingyi", "non-dropping-particle" : "", "parse-names" : false, "suffix" : "" }, { "dropping-particle" : "", "family" : "Gao", "given" : "Xianfeng", "non-dropping-particle" : "", "parse-names" : false, "suffix" : "" }, { "dropping-particle" : "", "family" : "Deng", "given" : "Yelin", "non-dropping-particle" : "", "parse-names" : false, "suffix" : "" }, { "dropping-particle" : "", "family" : "Zha", "given" : "Yuanchun", "non-dropping-particle" : "", "parse-names" : false, "suffix" : "" }, { "dropping-particle" : "", "family" : "Yuan", "given" : "Chris", "non-dropping-particle" : "", "parse-names" : false, "suffix" : "" } ], "container-title" : "Solar Energy Materials and Solar Cells", "id" : "ITEM-1", "issued" : { "date-parts" : [ [ "2017", "7" ] ] }, "page" : "9-17", "title" : "Comparison of life cycle environmental impacts of different perovskite solar cell systems", "type" : "article-journal", "volume" : "166" }, "uris" : [ "http://www.mendeley.com/documents/?uuid=8dfcd4d5-b00c-315a-bc5a-a77ac7edaa9f" ] }, { "id" : "ITEM-2", "itemData" : { "DOI" : "10.1039/C5EE00615E", "ISSN" : "1754-5692", "abstract" : "Life cycle assessment of perovskite photovoltaics provides comprehensive insights into diverse environmental impacts and possible improvements in manufacturing sustainable devices.", "author" : [ { "dropping-particle" : "", "family" : "Gong", "given" : "Jian", "non-dropping-particle" : "", "parse-names" : false, "suffix" : "" }, { "dropping-particle" : "", "family" : "Darling", "given" : "Seth B.", "non-dropping-particle" : "", "parse-names" : false, "suffix" : "" }, { "dropping-particle" : "", "family" : "You", "given" : "Fengqi", "non-dropping-particle" : "", "parse-names" : false, "suffix" : "" } ], "container-title" : "Energy Environ. Sci.", "id" : "ITEM-2", "issue" : "7", "issued" : { "date-parts" : [ [ "2015" ] ] }, "page" : "1953-1968", "publisher" : "Royal Society of Chemistry", "title" : "Perovskite photovoltaics: life-cycle assessment of energy and environmental impacts", "type" : "article-journal", "volume" : "8" }, "uris" : [ "http://www.mendeley.com/documents/?uuid=bb95e23f-f79f-4322-ad8f-e5cc8f9370c9" ] } ], "mendeley" : { "formattedCitation" : "&lt;sup&gt;30,38&lt;/sup&gt;", "plainTextFormattedCitation" : "30,38", "previouslyFormattedCitation" : "&lt;sup&gt;30,38&lt;/sup&gt;" }, "properties" : {  }, "schema" : "https://github.com/citation-style-language/schema/raw/master/csl-citation.json" }</w:instrText>
      </w:r>
      <w:r w:rsidR="0099656C" w:rsidRPr="001B5503">
        <w:fldChar w:fldCharType="separate"/>
      </w:r>
      <w:r w:rsidR="00D67546" w:rsidRPr="00D67546">
        <w:rPr>
          <w:noProof/>
          <w:vertAlign w:val="superscript"/>
        </w:rPr>
        <w:t>30,38</w:t>
      </w:r>
      <w:r w:rsidR="0099656C" w:rsidRPr="001B5503">
        <w:fldChar w:fldCharType="end"/>
      </w:r>
      <w:r w:rsidR="003B6CD9" w:rsidRPr="001B5503">
        <w:t xml:space="preserve"> perovskite deposition solvent impacts are generally of trivial magnitude</w:t>
      </w:r>
      <w:r w:rsidR="006A1521" w:rsidRPr="001B5503">
        <w:t xml:space="preserve">. This statement is true </w:t>
      </w:r>
      <w:r w:rsidR="00EC1FA6" w:rsidRPr="001B5503">
        <w:t>provided that</w:t>
      </w:r>
      <w:r w:rsidR="0047400C">
        <w:t xml:space="preserve"> </w:t>
      </w:r>
      <w:r w:rsidR="004E42EE" w:rsidRPr="001B5503">
        <w:t>CB</w:t>
      </w:r>
      <w:r w:rsidR="006A1521" w:rsidRPr="001B5503">
        <w:t xml:space="preserve"> would not be treated as such since it satisfies </w:t>
      </w:r>
      <w:r w:rsidR="00FB768F" w:rsidRPr="001B5503">
        <w:t>the</w:t>
      </w:r>
      <w:r w:rsidR="006A1521" w:rsidRPr="001B5503">
        <w:t xml:space="preserve"> extra function </w:t>
      </w:r>
      <w:r w:rsidR="00FB768F" w:rsidRPr="001B5503">
        <w:t>of removing solvents used for the deposition</w:t>
      </w:r>
      <w:r w:rsidR="00986DCF" w:rsidRPr="001B5503">
        <w:t>.</w:t>
      </w:r>
      <w:r w:rsidR="0047400C">
        <w:t xml:space="preserve"> </w:t>
      </w:r>
      <w:r w:rsidR="003B6CD9" w:rsidRPr="001B5503">
        <w:t xml:space="preserve">DMF, </w:t>
      </w:r>
      <w:r w:rsidR="004E42EE" w:rsidRPr="001B5503">
        <w:t>PbBr</w:t>
      </w:r>
      <w:r w:rsidR="004E42EE" w:rsidRPr="001B5503">
        <w:rPr>
          <w:vertAlign w:val="subscript"/>
        </w:rPr>
        <w:t>2</w:t>
      </w:r>
      <w:r w:rsidR="003B6CD9" w:rsidRPr="001B5503">
        <w:t xml:space="preserve"> and CsI are the only flows whose impact increases with the </w:t>
      </w:r>
      <w:r w:rsidR="005F303E" w:rsidRPr="001B5503">
        <w:t>Cs</w:t>
      </w:r>
      <w:r w:rsidR="003B6CD9" w:rsidRPr="001B5503">
        <w:t xml:space="preserve"> content. Meanwhile, the remaining flows impact </w:t>
      </w:r>
      <w:r w:rsidR="003B6CD9" w:rsidRPr="001B5503">
        <w:lastRenderedPageBreak/>
        <w:t xml:space="preserve">decreases with the amount of </w:t>
      </w:r>
      <w:r w:rsidR="005F303E" w:rsidRPr="001B5503">
        <w:t>Cs</w:t>
      </w:r>
      <w:r w:rsidR="000B008B" w:rsidRPr="001B5503">
        <w:t>.</w:t>
      </w:r>
      <w:r w:rsidR="0047400C">
        <w:t xml:space="preserve"> </w:t>
      </w:r>
      <w:r w:rsidR="000B008B" w:rsidRPr="001B5503">
        <w:t xml:space="preserve">Moreover, </w:t>
      </w:r>
      <w:r w:rsidR="004E42EE" w:rsidRPr="001B5503">
        <w:t>CB</w:t>
      </w:r>
      <w:r w:rsidR="00CE47E4" w:rsidRPr="001B5503">
        <w:t xml:space="preserve"> impact remains constant due to its amount does not vary</w:t>
      </w:r>
      <w:r w:rsidR="00F821C7" w:rsidRPr="001B5503">
        <w:t xml:space="preserve"> along the different compositions</w:t>
      </w:r>
      <w:r w:rsidR="003B6CD9" w:rsidRPr="001B5503">
        <w:t>.</w:t>
      </w:r>
    </w:p>
    <w:p w14:paraId="16836106" w14:textId="77777777" w:rsidR="009F3046" w:rsidRPr="001B5503" w:rsidRDefault="009F3046" w:rsidP="009F3046">
      <w:pPr>
        <w:pStyle w:val="Ttulo2"/>
      </w:pPr>
      <w:r w:rsidRPr="001B5503">
        <w:t>Economic analysis</w:t>
      </w:r>
    </w:p>
    <w:p w14:paraId="492DE9C3" w14:textId="77777777" w:rsidR="00143091" w:rsidRPr="001B5503" w:rsidRDefault="00143091" w:rsidP="00143091">
      <w:r w:rsidRPr="001B5503">
        <w:t xml:space="preserve">In order to complement the analysis of four </w:t>
      </w:r>
      <w:r w:rsidR="004E42EE" w:rsidRPr="001B5503">
        <w:t xml:space="preserve">multiple cation/anion perovskites </w:t>
      </w:r>
      <w:r w:rsidRPr="001B5503">
        <w:t>with the canonical MAPbI</w:t>
      </w:r>
      <w:r w:rsidRPr="001B5503">
        <w:rPr>
          <w:vertAlign w:val="subscript"/>
        </w:rPr>
        <w:t>3</w:t>
      </w:r>
      <w:r w:rsidRPr="001B5503">
        <w:t xml:space="preserve"> perovskite, the economic consequences of the usage of reagents and solvents for the perovskites deposition are analysed in </w:t>
      </w:r>
      <w:r w:rsidR="0099656C" w:rsidRPr="001B5503">
        <w:fldChar w:fldCharType="begin"/>
      </w:r>
      <w:r w:rsidRPr="001B5503">
        <w:instrText xml:space="preserve"> REF _Ref498340913 \h </w:instrText>
      </w:r>
      <w:r w:rsidR="0099656C" w:rsidRPr="001B5503">
        <w:fldChar w:fldCharType="separate"/>
      </w:r>
      <w:r w:rsidR="002C31BB" w:rsidRPr="001B5503">
        <w:t>Figure 4</w:t>
      </w:r>
      <w:r w:rsidR="0099656C" w:rsidRPr="001B5503">
        <w:fldChar w:fldCharType="end"/>
      </w:r>
      <w:r w:rsidRPr="001B5503">
        <w:t xml:space="preserve">. </w:t>
      </w:r>
      <w:r w:rsidR="002C31BB" w:rsidRPr="001B5503">
        <w:t>For this analysis</w:t>
      </w:r>
      <w:r w:rsidRPr="001B5503">
        <w:t xml:space="preserve">, use of energy </w:t>
      </w:r>
      <w:r w:rsidRPr="000A0F11">
        <w:t xml:space="preserve">flow </w:t>
      </w:r>
      <w:r w:rsidR="004A0BBD" w:rsidRPr="000A0F11">
        <w:t>is</w:t>
      </w:r>
      <w:r w:rsidRPr="000A0F11">
        <w:t xml:space="preserve"> dismissed</w:t>
      </w:r>
      <w:r w:rsidR="004A0BBD" w:rsidRPr="000A0F11">
        <w:t xml:space="preserve"> owing to an</w:t>
      </w:r>
      <w:r w:rsidRPr="000A0F11">
        <w:t xml:space="preserve"> unrealistic usage in laboratory environment. </w:t>
      </w:r>
      <w:r w:rsidR="00B30F56" w:rsidRPr="000A0F11">
        <w:t xml:space="preserve">Another reason to dismiss the energy use flow lays in the fact that cost of energy used supposes a significant cost, </w:t>
      </w:r>
      <w:r w:rsidR="00CD7A82" w:rsidRPr="000A0F11">
        <w:t>which</w:t>
      </w:r>
      <w:r w:rsidR="00B30F56" w:rsidRPr="000A0F11">
        <w:t xml:space="preserve"> would </w:t>
      </w:r>
      <w:r w:rsidR="00CD7A82" w:rsidRPr="000A0F11">
        <w:t>disguise the cost of reagents and solvents.</w:t>
      </w:r>
      <w:r w:rsidR="00141271" w:rsidRPr="000A0F11">
        <w:t xml:space="preserve"> In addition, as energy usage of canonical perovskite is greater than that of multiple cation/anion perovskites, inclusion of this cost would not change the overall result.</w:t>
      </w:r>
      <w:r w:rsidR="00CD7A82" w:rsidRPr="000A0F11">
        <w:t xml:space="preserve"> </w:t>
      </w:r>
      <w:r w:rsidRPr="000A0F11">
        <w:t>In this economic analysis the cost in euros of each</w:t>
      </w:r>
      <w:r w:rsidRPr="001B5503">
        <w:t xml:space="preserve"> reagent and solvent is obtained from its a</w:t>
      </w:r>
      <w:r w:rsidR="006E07FE" w:rsidRPr="001B5503">
        <w:t>mount used and its retail price, see Table S8 for further details. Note the economic analysis here reported are for cells at lab scale and just considering the cost of the perovskite layer. This fact makes that the cost here reported are overestimated considering a future industrial application</w:t>
      </w:r>
      <w:r w:rsidR="00610995" w:rsidRPr="001B5503">
        <w:t>.</w:t>
      </w:r>
      <w:r w:rsidR="0047400C">
        <w:t xml:space="preserve"> </w:t>
      </w:r>
      <w:r w:rsidR="00610995" w:rsidRPr="001B5503">
        <w:t>H</w:t>
      </w:r>
      <w:r w:rsidR="006E07FE" w:rsidRPr="001B5503">
        <w:t>owever</w:t>
      </w:r>
      <w:r w:rsidR="00610995" w:rsidRPr="001B5503">
        <w:t>,</w:t>
      </w:r>
      <w:r w:rsidR="0047400C">
        <w:t xml:space="preserve"> </w:t>
      </w:r>
      <w:r w:rsidR="00610995" w:rsidRPr="001B5503">
        <w:t xml:space="preserve">it </w:t>
      </w:r>
      <w:r w:rsidR="006E07FE" w:rsidRPr="001B5503">
        <w:t>provide</w:t>
      </w:r>
      <w:r w:rsidR="00610995" w:rsidRPr="001B5503">
        <w:t>s</w:t>
      </w:r>
      <w:r w:rsidR="006E07FE" w:rsidRPr="001B5503">
        <w:t xml:space="preserve"> important clues about </w:t>
      </w:r>
      <w:r w:rsidR="00610995" w:rsidRPr="001B5503">
        <w:t>which</w:t>
      </w:r>
      <w:r w:rsidR="006E07FE" w:rsidRPr="001B5503">
        <w:t xml:space="preserve"> part</w:t>
      </w:r>
      <w:r w:rsidR="00610995" w:rsidRPr="001B5503">
        <w:t>s</w:t>
      </w:r>
      <w:r w:rsidR="006E07FE" w:rsidRPr="001B5503">
        <w:t xml:space="preserve"> are </w:t>
      </w:r>
      <w:r w:rsidR="00610995" w:rsidRPr="001B5503">
        <w:t xml:space="preserve">mostly </w:t>
      </w:r>
      <w:r w:rsidR="006E07FE" w:rsidRPr="001B5503">
        <w:t>affecting</w:t>
      </w:r>
      <w:r w:rsidR="0047400C">
        <w:t xml:space="preserve"> </w:t>
      </w:r>
      <w:r w:rsidR="006E07FE" w:rsidRPr="001B5503">
        <w:t>the final price.</w:t>
      </w:r>
    </w:p>
    <w:p w14:paraId="016DBBBB" w14:textId="77777777" w:rsidR="008E77C9" w:rsidRPr="001B5503" w:rsidRDefault="00DD4F31" w:rsidP="008E77C9">
      <w:pPr>
        <w:keepNext/>
      </w:pPr>
      <w:r w:rsidRPr="001B5503">
        <w:rPr>
          <w:noProof/>
          <w:lang w:val="es-ES_tradnl" w:eastAsia="es-ES_tradnl"/>
        </w:rPr>
        <w:drawing>
          <wp:inline distT="0" distB="0" distL="0" distR="0" wp14:anchorId="4FA37F15" wp14:editId="4E4F21DE">
            <wp:extent cx="5400000" cy="3240000"/>
            <wp:effectExtent l="0" t="0" r="0" b="0"/>
            <wp:docPr id="3" name="Gráfico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C798E6" w14:textId="77777777" w:rsidR="008C180F" w:rsidRPr="001B5503" w:rsidRDefault="008E77C9" w:rsidP="00363920">
      <w:pPr>
        <w:pStyle w:val="Ttolfigura"/>
      </w:pPr>
      <w:bookmarkStart w:id="12" w:name="_Ref498340913"/>
      <w:r w:rsidRPr="001B5503">
        <w:t xml:space="preserve">Figure </w:t>
      </w:r>
      <w:r w:rsidR="0099656C" w:rsidRPr="001B5503">
        <w:fldChar w:fldCharType="begin"/>
      </w:r>
      <w:r w:rsidRPr="001B5503">
        <w:instrText xml:space="preserve"> SEQ Figure \* ARABIC </w:instrText>
      </w:r>
      <w:r w:rsidR="0099656C" w:rsidRPr="001B5503">
        <w:fldChar w:fldCharType="separate"/>
      </w:r>
      <w:r w:rsidR="002C31BB" w:rsidRPr="001B5503">
        <w:t>4</w:t>
      </w:r>
      <w:r w:rsidR="0099656C" w:rsidRPr="001B5503">
        <w:fldChar w:fldCharType="end"/>
      </w:r>
      <w:bookmarkEnd w:id="12"/>
      <w:r w:rsidR="00770210" w:rsidRPr="001B5503">
        <w:t>.</w:t>
      </w:r>
      <w:r w:rsidR="0047400C">
        <w:t xml:space="preserve"> </w:t>
      </w:r>
      <w:r w:rsidR="002741DB" w:rsidRPr="001B5503">
        <w:rPr>
          <w:b w:val="0"/>
        </w:rPr>
        <w:t xml:space="preserve">Cost in euros of materials for </w:t>
      </w:r>
      <w:r w:rsidR="0047400C">
        <w:rPr>
          <w:b w:val="0"/>
        </w:rPr>
        <w:t xml:space="preserve">the deposition of perovskite active layer </w:t>
      </w:r>
      <w:r w:rsidR="002741DB" w:rsidRPr="001B5503">
        <w:rPr>
          <w:b w:val="0"/>
        </w:rPr>
        <w:t xml:space="preserve">each </w:t>
      </w:r>
      <w:r w:rsidR="0047400C">
        <w:rPr>
          <w:b w:val="0"/>
        </w:rPr>
        <w:t xml:space="preserve">of the </w:t>
      </w:r>
      <w:r w:rsidR="002741DB" w:rsidRPr="001B5503">
        <w:rPr>
          <w:b w:val="0"/>
        </w:rPr>
        <w:t>PSC</w:t>
      </w:r>
      <w:r w:rsidR="0047400C">
        <w:rPr>
          <w:b w:val="0"/>
        </w:rPr>
        <w:t>s analised</w:t>
      </w:r>
      <w:r w:rsidR="00293371" w:rsidRPr="001B5503">
        <w:rPr>
          <w:b w:val="0"/>
        </w:rPr>
        <w:t>.</w:t>
      </w:r>
      <w:r w:rsidR="00A15323" w:rsidRPr="001B5503">
        <w:rPr>
          <w:b w:val="0"/>
        </w:rPr>
        <w:t xml:space="preserve"> Energy is not included in this analysis.</w:t>
      </w:r>
    </w:p>
    <w:p w14:paraId="29419097" w14:textId="77777777" w:rsidR="004A0BBD" w:rsidRPr="001B5503" w:rsidRDefault="004A0BBD" w:rsidP="004A0BBD">
      <w:r w:rsidRPr="001B5503">
        <w:t xml:space="preserve">In </w:t>
      </w:r>
      <w:r w:rsidR="0099656C" w:rsidRPr="001B5503">
        <w:fldChar w:fldCharType="begin"/>
      </w:r>
      <w:r w:rsidRPr="001B5503">
        <w:instrText xml:space="preserve"> REF _Ref498340913 \h </w:instrText>
      </w:r>
      <w:r w:rsidR="0099656C" w:rsidRPr="001B5503">
        <w:fldChar w:fldCharType="separate"/>
      </w:r>
      <w:r w:rsidR="002C31BB" w:rsidRPr="001B5503">
        <w:t>Figure 4</w:t>
      </w:r>
      <w:r w:rsidR="0099656C" w:rsidRPr="001B5503">
        <w:fldChar w:fldCharType="end"/>
      </w:r>
      <w:r w:rsidRPr="001B5503">
        <w:t xml:space="preserve">, the canonical perovskite arises as the </w:t>
      </w:r>
      <w:r w:rsidR="00003F49" w:rsidRPr="001B5503">
        <w:t>most economical</w:t>
      </w:r>
      <w:r w:rsidRPr="001B5503">
        <w:t xml:space="preserve"> type by virtue of the </w:t>
      </w:r>
      <w:r w:rsidR="00003F49" w:rsidRPr="001B5503">
        <w:t>lesser</w:t>
      </w:r>
      <w:r w:rsidRPr="001B5503">
        <w:t xml:space="preserve"> quantity </w:t>
      </w:r>
      <w:r w:rsidR="00003F49" w:rsidRPr="001B5503">
        <w:t>of compounds</w:t>
      </w:r>
      <w:r w:rsidRPr="001B5503">
        <w:t xml:space="preserve"> used.</w:t>
      </w:r>
      <w:r w:rsidR="000A09FF" w:rsidRPr="001B5503">
        <w:t xml:space="preserve"> The principal compound behind the higher cost of </w:t>
      </w:r>
      <w:r w:rsidR="006E07FE" w:rsidRPr="001B5503">
        <w:t>multi</w:t>
      </w:r>
      <w:r w:rsidR="000A09FF" w:rsidRPr="001B5503">
        <w:t>ple cation</w:t>
      </w:r>
      <w:r w:rsidR="009861B7" w:rsidRPr="001B5503">
        <w:t>/anion</w:t>
      </w:r>
      <w:r w:rsidR="000A09FF" w:rsidRPr="001B5503">
        <w:t xml:space="preserve"> perovskites </w:t>
      </w:r>
      <w:r w:rsidR="006E07FE" w:rsidRPr="001B5503">
        <w:t xml:space="preserve">in comparison with the canonical composition </w:t>
      </w:r>
      <w:r w:rsidR="000A09FF" w:rsidRPr="001B5503">
        <w:t>is the FAI. In fact,</w:t>
      </w:r>
      <w:r w:rsidR="0047400C">
        <w:t xml:space="preserve"> </w:t>
      </w:r>
      <w:r w:rsidR="000A09FF" w:rsidRPr="001B5503">
        <w:t>c</w:t>
      </w:r>
      <w:r w:rsidRPr="001B5503">
        <w:t xml:space="preserve">ost </w:t>
      </w:r>
      <w:r w:rsidRPr="000A0F11">
        <w:t xml:space="preserve">of </w:t>
      </w:r>
      <w:r w:rsidR="00B37264" w:rsidRPr="000A0F11">
        <w:t>multiple</w:t>
      </w:r>
      <w:r w:rsidRPr="000A0F11">
        <w:t xml:space="preserve"> cation</w:t>
      </w:r>
      <w:r w:rsidR="00B37264" w:rsidRPr="000A0F11">
        <w:t>/anion</w:t>
      </w:r>
      <w:r w:rsidRPr="000A0F11">
        <w:t xml:space="preserve"> perovskites is </w:t>
      </w:r>
      <w:r w:rsidR="00B03E7C" w:rsidRPr="000A0F11">
        <w:t>roughly·1</w:t>
      </w:r>
      <w:r w:rsidRPr="000A0F11">
        <w:t>€/m</w:t>
      </w:r>
      <w:r w:rsidRPr="000A0F11">
        <w:rPr>
          <w:vertAlign w:val="superscript"/>
        </w:rPr>
        <w:t>2</w:t>
      </w:r>
      <w:r w:rsidR="00B37264" w:rsidRPr="000A0F11">
        <w:t xml:space="preserve"> h</w:t>
      </w:r>
      <w:r w:rsidR="00003F49" w:rsidRPr="000A0F11">
        <w:t>igh</w:t>
      </w:r>
      <w:r w:rsidRPr="000A0F11">
        <w:t xml:space="preserve">er than that of </w:t>
      </w:r>
      <w:r w:rsidR="006367CF" w:rsidRPr="000A0F11">
        <w:t>canonical</w:t>
      </w:r>
      <w:r w:rsidRPr="000A0F11">
        <w:t xml:space="preserve"> perovskite</w:t>
      </w:r>
      <w:r w:rsidR="000A09FF" w:rsidRPr="000A0F11">
        <w:t>,</w:t>
      </w:r>
      <w:r w:rsidR="000A09FF" w:rsidRPr="001B5503">
        <w:t xml:space="preserve"> </w:t>
      </w:r>
      <w:r w:rsidR="00B37264" w:rsidRPr="001B5503">
        <w:t>which matches approximately with the cost o</w:t>
      </w:r>
      <w:r w:rsidR="000A09FF" w:rsidRPr="001B5503">
        <w:t xml:space="preserve">f </w:t>
      </w:r>
      <w:r w:rsidR="00B37264" w:rsidRPr="001B5503">
        <w:t>FAI</w:t>
      </w:r>
      <w:r w:rsidRPr="001B5503">
        <w:t>.</w:t>
      </w:r>
      <w:r w:rsidR="000A09FF" w:rsidRPr="001B5503">
        <w:t xml:space="preserve"> Furthermore, this difference</w:t>
      </w:r>
      <w:r w:rsidRPr="001B5503">
        <w:t xml:space="preserve"> decreases with the </w:t>
      </w:r>
      <w:r w:rsidR="00B37264" w:rsidRPr="001B5503">
        <w:t>Cs</w:t>
      </w:r>
      <w:r w:rsidR="0047400C">
        <w:t xml:space="preserve"> </w:t>
      </w:r>
      <w:r w:rsidR="00DE0302" w:rsidRPr="001B5503">
        <w:t xml:space="preserve">content </w:t>
      </w:r>
      <w:r w:rsidRPr="001B5503">
        <w:t xml:space="preserve">used favoured by the subsequent reduction in the cost of FAI. </w:t>
      </w:r>
      <w:r w:rsidR="000617CB" w:rsidRPr="001B5503">
        <w:t>A</w:t>
      </w:r>
      <w:r w:rsidR="000A09FF" w:rsidRPr="001B5503">
        <w:t>mong</w:t>
      </w:r>
      <w:r w:rsidR="0047400C">
        <w:t xml:space="preserve"> </w:t>
      </w:r>
      <w:r w:rsidR="00B37264" w:rsidRPr="001B5503">
        <w:t>multipl</w:t>
      </w:r>
      <w:r w:rsidR="000A09FF" w:rsidRPr="001B5503">
        <w:t xml:space="preserve">e </w:t>
      </w:r>
      <w:r w:rsidR="000A09FF" w:rsidRPr="001B5503">
        <w:lastRenderedPageBreak/>
        <w:t>cation</w:t>
      </w:r>
      <w:r w:rsidR="00B37264" w:rsidRPr="001B5503">
        <w:t>/anion</w:t>
      </w:r>
      <w:r w:rsidR="000A09FF" w:rsidRPr="001B5503">
        <w:t xml:space="preserve"> perovskites </w:t>
      </w:r>
      <w:r w:rsidRPr="001B5503">
        <w:t xml:space="preserve">the cheapest composition is the </w:t>
      </w:r>
      <w:r w:rsidR="00B37264" w:rsidRPr="001B5503">
        <w:t>x=0.15 with the highest content of Cs and consequently the lowest of FA</w:t>
      </w:r>
      <w:r w:rsidRPr="001B5503">
        <w:t xml:space="preserve">. Despite the determining character of FAI and its highest cost per mass unit, </w:t>
      </w:r>
      <w:r w:rsidR="00B37264" w:rsidRPr="001B5503">
        <w:t>PbI</w:t>
      </w:r>
      <w:r w:rsidR="00B37264" w:rsidRPr="001B5503">
        <w:rPr>
          <w:vertAlign w:val="subscript"/>
        </w:rPr>
        <w:t>2</w:t>
      </w:r>
      <w:r w:rsidR="0047400C">
        <w:t xml:space="preserve"> </w:t>
      </w:r>
      <w:r w:rsidRPr="001B5503">
        <w:t xml:space="preserve">with the second highest cost per mass unit is the most expensive reagent </w:t>
      </w:r>
      <w:r w:rsidR="00B37264" w:rsidRPr="001B5503">
        <w:t>used in all the composition, however in multiple cation/anion perovskite the cost is slightly mitigated by the introduction of Br anion and the consequent use of PbBr</w:t>
      </w:r>
      <w:r w:rsidR="00B37264" w:rsidRPr="001B5503">
        <w:rPr>
          <w:vertAlign w:val="subscript"/>
        </w:rPr>
        <w:t>2</w:t>
      </w:r>
      <w:r w:rsidR="00B37264" w:rsidRPr="001B5503">
        <w:t xml:space="preserve"> precursor, significantly cheaper than PbI</w:t>
      </w:r>
      <w:r w:rsidR="00B37264" w:rsidRPr="001B5503">
        <w:rPr>
          <w:vertAlign w:val="subscript"/>
        </w:rPr>
        <w:t>2</w:t>
      </w:r>
      <w:r w:rsidR="00B37264" w:rsidRPr="001B5503">
        <w:t>, see Table S8</w:t>
      </w:r>
      <w:r w:rsidRPr="001B5503">
        <w:t xml:space="preserve">. DMF and DMSO solvents cost is lower than the CB cost, nonetheless this three </w:t>
      </w:r>
      <w:r w:rsidR="000A09FF" w:rsidRPr="001B5503">
        <w:t>compounds</w:t>
      </w:r>
      <w:r w:rsidRPr="001B5503">
        <w:t xml:space="preserve"> cost is neither important nor determining for the total cost.</w:t>
      </w:r>
    </w:p>
    <w:p w14:paraId="5354B869" w14:textId="77777777" w:rsidR="003602B8" w:rsidRPr="001B5503" w:rsidRDefault="003602B8" w:rsidP="00471E91">
      <w:r w:rsidRPr="001B5503">
        <w:t xml:space="preserve">Given that PSCs can be an economic source from the energy generated, a cost payback time analysis was performed for the perovskite layer. Due to the canonical perovskite arises as the </w:t>
      </w:r>
      <w:r w:rsidR="00E821C8" w:rsidRPr="001B5503">
        <w:t xml:space="preserve">lower cost </w:t>
      </w:r>
      <w:r w:rsidRPr="001B5503">
        <w:t xml:space="preserve">perovskite </w:t>
      </w:r>
      <w:r w:rsidR="00E821C8" w:rsidRPr="001B5503">
        <w:t xml:space="preserve">layer </w:t>
      </w:r>
      <w:r w:rsidRPr="001B5503">
        <w:t>respect to the rest of perovskites</w:t>
      </w:r>
      <w:r w:rsidR="00E821C8" w:rsidRPr="001B5503">
        <w:t xml:space="preserve"> here analy</w:t>
      </w:r>
      <w:r w:rsidR="00610995" w:rsidRPr="001B5503">
        <w:t>s</w:t>
      </w:r>
      <w:r w:rsidR="00E821C8" w:rsidRPr="001B5503">
        <w:t>ed</w:t>
      </w:r>
      <w:r w:rsidRPr="001B5503">
        <w:t xml:space="preserve">, </w:t>
      </w:r>
      <w:r w:rsidR="00E821C8" w:rsidRPr="001B5503">
        <w:t>the</w:t>
      </w:r>
      <w:r w:rsidRPr="001B5503">
        <w:t xml:space="preserve"> payback time </w:t>
      </w:r>
      <w:r w:rsidR="00E821C8" w:rsidRPr="001B5503">
        <w:t xml:space="preserve">will be lower for canonical perovskite if the efficiencies of the cells are similar. </w:t>
      </w:r>
      <w:r w:rsidR="0036528B">
        <w:t>Hence, m</w:t>
      </w:r>
      <w:r w:rsidR="00E821C8" w:rsidRPr="001B5503">
        <w:t xml:space="preserve">ultiple cation/anion perovskite can only have the same payback time by an increase of cell efficiency. In Figure 5, </w:t>
      </w:r>
      <w:r w:rsidR="00406B3E" w:rsidRPr="001B5503">
        <w:t>t</w:t>
      </w:r>
      <w:r w:rsidR="00E821C8" w:rsidRPr="001B5503">
        <w:t>he efficiency of a multiple cation/anion perovskite with x=0.10</w:t>
      </w:r>
      <w:r w:rsidR="002D7D90">
        <w:t xml:space="preserve"> (the perovskite</w:t>
      </w:r>
      <w:r w:rsidR="00471E91" w:rsidRPr="001B5503">
        <w:t xml:space="preserve"> </w:t>
      </w:r>
      <w:r w:rsidR="00471E91" w:rsidRPr="000A0F11">
        <w:t>with the highes</w:t>
      </w:r>
      <w:r w:rsidR="0075168A" w:rsidRPr="000A0F11">
        <w:t xml:space="preserve">t reported efficiency in </w:t>
      </w:r>
      <w:r w:rsidR="002D7D90" w:rsidRPr="000A0F11">
        <w:t xml:space="preserve">its original </w:t>
      </w:r>
      <w:r w:rsidR="0075168A" w:rsidRPr="000A0F11">
        <w:t>manuscript)</w:t>
      </w:r>
      <w:r w:rsidR="0075168A" w:rsidRPr="000A0F11">
        <w:fldChar w:fldCharType="begin" w:fldLock="1"/>
      </w:r>
      <w:r w:rsidR="0075168A" w:rsidRPr="000A0F11">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"&lt;sup&gt;15&lt;/sup&gt;", "plainTextFormattedCitation" : "15", "previouslyFormattedCitation" : "&lt;sup&gt;15&lt;/sup&gt;" }, "properties" : {  }, "schema" : "https://github.com/citation-style-language/schema/raw/master/csl-citation.json" }</w:instrText>
      </w:r>
      <w:r w:rsidR="0075168A" w:rsidRPr="000A0F11">
        <w:fldChar w:fldCharType="separate"/>
      </w:r>
      <w:r w:rsidR="0075168A" w:rsidRPr="000A0F11">
        <w:rPr>
          <w:noProof/>
          <w:vertAlign w:val="superscript"/>
        </w:rPr>
        <w:t>15</w:t>
      </w:r>
      <w:r w:rsidR="0075168A" w:rsidRPr="000A0F11">
        <w:fldChar w:fldCharType="end"/>
      </w:r>
      <w:r w:rsidR="00E821C8" w:rsidRPr="000A0F11">
        <w:t xml:space="preserve">, left axis, is plotted against the efficiency of perovskite canonical cell in order that both present the same payback time. </w:t>
      </w:r>
      <w:r w:rsidR="0090680A" w:rsidRPr="000A0F11">
        <w:t xml:space="preserve">In order to execute this cost payback time analysis, </w:t>
      </w:r>
      <w:r w:rsidR="00A440CB" w:rsidRPr="000A0F11">
        <w:t xml:space="preserve">money saved thanks to the </w:t>
      </w:r>
      <w:r w:rsidR="0090680A" w:rsidRPr="000A0F11">
        <w:t>electricity produced by two theoretical photovoltaic devices based on the perovskites studied</w:t>
      </w:r>
      <w:r w:rsidR="00A440CB" w:rsidRPr="000A0F11">
        <w:t xml:space="preserve"> counteracts the initial cost of the perovskite layer</w:t>
      </w:r>
      <w:r w:rsidR="0090680A" w:rsidRPr="000A0F11">
        <w:t>. It</w:t>
      </w:r>
      <w:r w:rsidR="00471E91" w:rsidRPr="000A0F11">
        <w:t xml:space="preserve"> has been calculated considering the perovskite layer cost, see Figure 4, and </w:t>
      </w:r>
      <w:r w:rsidRPr="000A0F11">
        <w:t xml:space="preserve">the price </w:t>
      </w:r>
      <w:r w:rsidR="0080626A" w:rsidRPr="000A0F11">
        <w:t>of 1 MJ of electricity in Spain. The amount of electricity generated by the theoretical photovoltaic devices was obtained by assuming</w:t>
      </w:r>
      <w:r w:rsidRPr="000A0F11">
        <w:t xml:space="preserve"> a solar constant of 1 kW/m</w:t>
      </w:r>
      <w:r w:rsidRPr="000A0F11">
        <w:rPr>
          <w:vertAlign w:val="superscript"/>
        </w:rPr>
        <w:t>2</w:t>
      </w:r>
      <w:r w:rsidR="0080626A" w:rsidRPr="000A0F11">
        <w:t xml:space="preserve"> in Spain</w:t>
      </w:r>
      <w:r w:rsidR="007A1337" w:rsidRPr="000A0F11">
        <w:t>, the efficiencies of the devices made from the perovskites considered in the laboratory reported in their respective works,</w:t>
      </w:r>
      <w:r w:rsidR="004B36DA" w:rsidRPr="000A0F11">
        <w:fldChar w:fldCharType="begin" w:fldLock="1"/>
      </w:r>
      <w:r w:rsidR="0022593E" w:rsidRPr="000A0F11">
        <w:instrText>ADDIN CSL_CITATION { "citationItems" : [ { "id" : "ITEM-1",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"ITEM-1",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"id" : "ITEM-2", "itemData" : { "DOI" : "10.1039/c3ta12681a", "ISSN" : "2050-7488", "abstract" : "For using 2,2\u2032,7,7\u2032-tetrakis(N,N\u2032-di-p- methoxyphenylamine)-9,9\u2032-spirobifluorene (spiro-OMeTAD) as a hole conductor in solar cells, it is necessary to improve its charge-transport properties through electrochemical doping. With the aim of fabricating efficient mesoscopic TiO2/CH3NH3PbI3 heterojunction solar cells, we used tris[2-(1H-pyrazol-1-yl)-4-tert- butylpyridine)cobalt(iii) tris(bis(trifluoromethylsulfonyl) imide)] (FK209) as a p-dopant for spiro-OMeTAD. The mixture of spiro-OMeTAD, FK209, lithium bis(trifluoromethylsulfonyl)imide (Li-TFSI), and 4-tert-butylpyridine (TBP) exhibited significantly higher performance than mixtures of pristine spiro-OMeTAD, spiro-OMeTAD, and FK209, and spiro-OMeTAD, Li-TFSI, and TBP. Such a synergistic effect between the Co-complex and Li-TFSI in conjunction with spiro-OMeTAD effectively improved the power conversion efficiency (PCE) of the fabricated solar cells. As a result, we achieved PCE of 10.4%, measured under standard solar conditions (AM 1.5G, 100 mW cm-2). \u00a9 2013 The Royal Society of Chemistry.", "author" : [ { "dropping-particle" : "", "family" : "Noh", "given" : "Jun Hong", "non-dropping-particle" : "", "parse-names" : false, "suffix" : "" }, { "dropping-particle" : "", "family" : "Jeon", "given" : "Nam Joong", "non-dropping-particle" : "", "parse-names" : false, "suffix" : "" }, { "dropping-particle" : "", "family" : "Choi", "given" : "Yong Chan", "non-dropping-particle" : "", "parse-names" : false, "suffix" : "" }, { "dropping-particle" : "", "family" : "Nazeeruddin", "given" : "Md. K.", "non-dropping-particle" : "", "parse-names" : false, "suffix" : "" }, { "dropping-particle" : "", "family" : "Gr\u00e4tzel", "given" : "Michael", "non-dropping-particle" : "", "parse-names" : false, "suffix" : "" }, { "dropping-particle" : "Il", "family" : "Seok", "given" : "Sang", "non-dropping-particle" : "", "parse-names" : false, "suffix" : "" } ], "container-title" : "Journal of Materials Chemistry A", "id" : "ITEM-2", "issue" : "38", "issued" : { "date-parts" : [ [ "2013" ] ] }, "page" : "11842", "title" : "Nanostructured TiO2/CH3NH3PbI3 heterojunction solar cells employing spiro-OMeTAD/Co-complex as hole-transporting material", "type" : "article-journal", "volume" : "1" }, "uris" : [ "http://www.mendeley.com/documents/?uuid=33519ca2-3a48-4953-b0cd-e6c55ccfeb73" ] } ], "mendeley" : { "formattedCitation" : "&lt;sup&gt;15,40&lt;/sup&gt;", "plainTextFormattedCitation" : "15,40", "previouslyFormattedCitation" : "&lt;sup&gt;15,40&lt;/sup&gt;" }, "properties" : {  }, "schema" : "https://github.com/citation-style-language/schema/raw/master/csl-citation.json" }</w:instrText>
      </w:r>
      <w:r w:rsidR="004B36DA" w:rsidRPr="000A0F11">
        <w:fldChar w:fldCharType="separate"/>
      </w:r>
      <w:r w:rsidR="004B36DA" w:rsidRPr="000A0F11">
        <w:rPr>
          <w:noProof/>
          <w:vertAlign w:val="superscript"/>
        </w:rPr>
        <w:t>15,40</w:t>
      </w:r>
      <w:r w:rsidR="004B36DA" w:rsidRPr="000A0F11">
        <w:fldChar w:fldCharType="end"/>
      </w:r>
      <w:r w:rsidR="0080626A" w:rsidRPr="000A0F11">
        <w:t xml:space="preserve"> and no efficiency losses due to ambient temperature</w:t>
      </w:r>
      <w:r w:rsidR="00471E91" w:rsidRPr="000A0F11">
        <w:t>. T</w:t>
      </w:r>
      <w:r w:rsidRPr="000A0F11">
        <w:t>his analysis calculates the efficiency that should have the</w:t>
      </w:r>
      <w:r w:rsidRPr="001B5503">
        <w:t xml:space="preserve"> perovskite with x = 0.10 of </w:t>
      </w:r>
      <w:r w:rsidR="00471E91" w:rsidRPr="001B5503">
        <w:t>Cs</w:t>
      </w:r>
      <w:r w:rsidRPr="001B5503">
        <w:t xml:space="preserve"> to recover the money invested on its synthesis and deposition in the same time than the canonical perovskite does. </w:t>
      </w:r>
      <w:r w:rsidR="00471E91" w:rsidRPr="001B5503">
        <w:t>The difference between the efficiencies of multiple cation/anion and canonical perovskite to get the same payback time is represented by the right axis in Figure 6</w:t>
      </w:r>
      <w:r w:rsidRPr="001B5503">
        <w:t>, to facilitate the comprehension of this analysis.</w:t>
      </w:r>
    </w:p>
    <w:p w14:paraId="74337FE3" w14:textId="77777777" w:rsidR="008E77C9" w:rsidRPr="001B5503" w:rsidRDefault="003602B8" w:rsidP="008E77C9">
      <w:pPr>
        <w:keepNext/>
      </w:pPr>
      <w:r w:rsidRPr="001B5503">
        <w:rPr>
          <w:noProof/>
          <w:lang w:val="es-ES_tradnl" w:eastAsia="es-ES_tradnl"/>
        </w:rPr>
        <w:lastRenderedPageBreak/>
        <w:drawing>
          <wp:inline distT="0" distB="0" distL="0" distR="0" wp14:anchorId="4CD3284D" wp14:editId="5BBDE5F7">
            <wp:extent cx="5400000" cy="3240000"/>
            <wp:effectExtent l="0" t="0" r="0" b="0"/>
            <wp:docPr id="9" name="Gráfico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8367E8A-B713-4D9D-A648-540F38D9A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BE2F4F" w14:textId="77777777" w:rsidR="008C180F" w:rsidRPr="001B5503" w:rsidRDefault="008E77C9" w:rsidP="00363920">
      <w:pPr>
        <w:pStyle w:val="Ttolfigura"/>
        <w:rPr>
          <w:b w:val="0"/>
        </w:rPr>
      </w:pPr>
      <w:bookmarkStart w:id="13" w:name="_Ref498342626"/>
      <w:r w:rsidRPr="001B5503">
        <w:t xml:space="preserve">Figure </w:t>
      </w:r>
      <w:r w:rsidR="0099656C" w:rsidRPr="001B5503">
        <w:fldChar w:fldCharType="begin"/>
      </w:r>
      <w:r w:rsidRPr="001B5503">
        <w:instrText xml:space="preserve"> SEQ Figure \* ARABIC </w:instrText>
      </w:r>
      <w:r w:rsidR="0099656C" w:rsidRPr="001B5503">
        <w:fldChar w:fldCharType="separate"/>
      </w:r>
      <w:r w:rsidR="000617CB" w:rsidRPr="001B5503">
        <w:t>5</w:t>
      </w:r>
      <w:r w:rsidR="0099656C" w:rsidRPr="001B5503">
        <w:fldChar w:fldCharType="end"/>
      </w:r>
      <w:bookmarkEnd w:id="13"/>
      <w:r w:rsidR="00770210" w:rsidRPr="001B5503">
        <w:t>.</w:t>
      </w:r>
      <w:r w:rsidR="0047400C">
        <w:t xml:space="preserve"> </w:t>
      </w:r>
      <w:r w:rsidR="00D47B3E" w:rsidRPr="00D47B3E">
        <w:rPr>
          <w:b w:val="0"/>
        </w:rPr>
        <w:t>Equal c</w:t>
      </w:r>
      <w:r w:rsidR="00DA01F6" w:rsidRPr="001B5503">
        <w:rPr>
          <w:b w:val="0"/>
        </w:rPr>
        <w:t>ost payback time for the perovskite with x = 0.1 of caesium and canonical perovskite PSCs.</w:t>
      </w:r>
    </w:p>
    <w:p w14:paraId="1AF9E9DF" w14:textId="021F8BE0" w:rsidR="00E24183" w:rsidRDefault="003602B8" w:rsidP="003602B8">
      <w:r w:rsidRPr="001B5503">
        <w:t xml:space="preserve">The payback </w:t>
      </w:r>
      <w:r w:rsidR="00D47B3E" w:rsidRPr="001B5503">
        <w:t xml:space="preserve">cost </w:t>
      </w:r>
      <w:r w:rsidRPr="001B5503">
        <w:t xml:space="preserve">analysis in </w:t>
      </w:r>
      <w:r w:rsidR="0099656C" w:rsidRPr="001B5503">
        <w:fldChar w:fldCharType="begin"/>
      </w:r>
      <w:r w:rsidRPr="001B5503">
        <w:instrText xml:space="preserve"> REF _Ref498342626 \h </w:instrText>
      </w:r>
      <w:r w:rsidR="0099656C" w:rsidRPr="001B5503">
        <w:fldChar w:fldCharType="separate"/>
      </w:r>
      <w:r w:rsidRPr="001B5503">
        <w:t>Figure 5</w:t>
      </w:r>
      <w:r w:rsidR="0099656C" w:rsidRPr="001B5503">
        <w:fldChar w:fldCharType="end"/>
      </w:r>
      <w:r w:rsidRPr="001B5503">
        <w:t xml:space="preserve"> reveals that the efficiency necessary to recover the money invested in the synthesis and deposition of </w:t>
      </w:r>
      <w:r w:rsidR="00471E91" w:rsidRPr="001B5503">
        <w:t>a</w:t>
      </w:r>
      <w:r w:rsidRPr="001B5503">
        <w:t xml:space="preserve"> canonical perovskite </w:t>
      </w:r>
      <w:r w:rsidR="00471E91" w:rsidRPr="001B5503">
        <w:t xml:space="preserve">with and efficiency </w:t>
      </w:r>
      <w:r w:rsidRPr="001B5503">
        <w:t>of 1</w:t>
      </w:r>
      <w:r w:rsidR="00CE5151" w:rsidRPr="001B5503">
        <w:t>6</w:t>
      </w:r>
      <w:r w:rsidRPr="001B5503">
        <w:t xml:space="preserve">%, </w:t>
      </w:r>
      <w:r w:rsidR="00471E91" w:rsidRPr="001B5503">
        <w:t>for a</w:t>
      </w:r>
      <w:r w:rsidRPr="001B5503">
        <w:t xml:space="preserve"> perovskite with x = 0.10 of </w:t>
      </w:r>
      <w:r w:rsidR="00471E91" w:rsidRPr="001B5503">
        <w:t>Cs</w:t>
      </w:r>
      <w:r w:rsidRPr="001B5503">
        <w:t xml:space="preserve"> </w:t>
      </w:r>
      <w:r w:rsidR="00D47B3E">
        <w:t xml:space="preserve">is </w:t>
      </w:r>
      <w:r w:rsidR="00BC0B4E">
        <w:t xml:space="preserve">a </w:t>
      </w:r>
      <w:r w:rsidR="00AB18B4">
        <w:t>little below</w:t>
      </w:r>
      <w:r w:rsidRPr="001B5503">
        <w:t xml:space="preserve"> the current </w:t>
      </w:r>
      <w:r w:rsidR="006E07FE" w:rsidRPr="001B5503">
        <w:t xml:space="preserve">published </w:t>
      </w:r>
      <w:r w:rsidR="0022593E">
        <w:t xml:space="preserve">efficiency record </w:t>
      </w:r>
      <w:r w:rsidR="0022593E" w:rsidRPr="000A0F11">
        <w:t>of 22.7</w:t>
      </w:r>
      <w:r w:rsidRPr="000A0F11">
        <w:t>%</w:t>
      </w:r>
      <w:r w:rsidR="00D47B3E" w:rsidRPr="000A0F11">
        <w:t>,</w:t>
      </w:r>
      <w:r w:rsidR="0022593E" w:rsidRPr="000A0F11">
        <w:fldChar w:fldCharType="begin" w:fldLock="1"/>
      </w:r>
      <w:r w:rsidR="00841437" w:rsidRPr="000A0F11">
        <w:instrText>ADDIN CSL_CITATION { "citationItems" : [ { "id" : "ITEM-1",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"ITEM-1",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"id" : "ITEM-2", "itemData" : { "DOI" : "10.1002/pip.2978", "ISSN" : "10627995", "abstract" : "Abstract Consolidated tables showing an extensive listing of the highest independently confirmed efficiencies for solar cells and modules are presented. Guidelines for inclusion of results into these tables are outlined and new entries since July 2017 are reviewed, together with progress over the last 25 years. Appendices are included documenting area definitions and also listing recognised test centres.", "author" : [ { "dropping-particle" : "", "family" : "Green", "given" : "Martin A.", "non-dropping-particle" : "", "parse-names" : false, "suffix" : "" }, { "dropping-particle" : "", "family" : "Hishikawa", "given" : "Yoshihiro", "non-dropping-particle" : "", "parse-names" : false, "suffix" : "" }, { "dropping-particle" : "", "family" : "Dunlop", "given" : "Ewan D.", "non-dropping-particle" : "", "parse-names" : false, "suffix" : "" }, { "dropping-particle" : "", "family" : "Levi", "given" : "Dean H.", "non-dropping-particle" : "", "parse-names" : false, "suffix" : "" }, { "dropping-particle" : "", "family" : "Hohl-Ebinger", "given" : "Jochen", "non-dropping-particle" : "", "parse-names" : false, "suffix" : "" }, { "dropping-particle" : "", "family" : "Ho-Baillie", "given" : "Anita W.Y.", "non-dropping-particle" : "", "parse-names" : false, "suffix" : "" } ], "container-title" : "Progress in Photovoltaics: Research and Applications", "id" : "ITEM-2", "issue" : "1", "issued" : { "date-parts" : [ [ "2018", "1", "14" ] ] }, "note" : "doi: 10.1002/pip.2978", "page" : "3-12", "publisher" : "Wiley-Blackwell", "title" : "Solar cell efficiency tables (version 51)", "type" : "article-journal", "volume" : "26" }, "uris" : [ "http://www.mendeley.com/documents/?uuid=5f2b68a4-86d4-44e9-a668-5291f2a5e587" ] }, { "id" : "ITEM-3", "itemData" : { "URL" : "https://www.nrel.gov/pv/assets/images/efficiency-chart.png", "accessed" : { "date-parts" : [ [ "2017", "9", "15" ] ] }, "author" : [ { "dropping-particle" : "", "family" : "National Renewable Energy Laboratory", "given" : "", "non-dropping-particle" : "", "parse-names" : false, "suffix" : "" } ], "id" : "ITEM-3", "issued" : { "date-parts" : [ [ "2016" ] ] }, "title" : "Best Research-Cell Efficiencies", "type" : "webpage" }, "uris" : [ "http://www.mendeley.com/documents/?uuid=d9d57dd4-784c-4ee7-969c-4ef6f7b7f0bc" ] } ], "mendeley" : { "formattedCitation" : "&lt;sup&gt;4,56,57&lt;/sup&gt;", "plainTextFormattedCitation" : "4,56,57", "previouslyFormattedCitation" : "&lt;sup&gt;4,56,57&lt;/sup&gt;" }, "properties" : {  }, "schema" : "https://github.com/citation-style-language/schema/raw/master/csl-citation.json" }</w:instrText>
      </w:r>
      <w:r w:rsidR="0022593E" w:rsidRPr="000A0F11">
        <w:fldChar w:fldCharType="separate"/>
      </w:r>
      <w:r w:rsidR="0022593E" w:rsidRPr="000A0F11">
        <w:rPr>
          <w:noProof/>
          <w:vertAlign w:val="superscript"/>
        </w:rPr>
        <w:t>4,56,57</w:t>
      </w:r>
      <w:r w:rsidR="0022593E" w:rsidRPr="000A0F11">
        <w:fldChar w:fldCharType="end"/>
      </w:r>
      <w:r w:rsidR="00D47B3E" w:rsidRPr="000A0F11">
        <w:t xml:space="preserve"> i.e. the efficiency of multiple cation/anion perovskite has to be 1.38 </w:t>
      </w:r>
      <w:r w:rsidR="00212D28" w:rsidRPr="000A0F11">
        <w:t xml:space="preserve">times </w:t>
      </w:r>
      <w:r w:rsidR="00D47B3E" w:rsidRPr="000A0F11">
        <w:t>the efficiency of the canonical perovskite to make equal the payback cost.</w:t>
      </w:r>
      <w:r w:rsidR="00E24183" w:rsidRPr="000A0F11">
        <w:t xml:space="preserve"> </w:t>
      </w:r>
      <w:r w:rsidR="005138D8" w:rsidRPr="000A0F11">
        <w:t>However</w:t>
      </w:r>
      <w:r w:rsidR="004C2ECE" w:rsidRPr="000A0F11">
        <w:t>, experimental results point to the fact that organic-inorgan</w:t>
      </w:r>
      <w:r w:rsidR="0004041A" w:rsidRPr="000A0F11">
        <w:t>ic perovskites are attaining increased stabilit</w:t>
      </w:r>
      <w:r w:rsidR="00080266" w:rsidRPr="000A0F11">
        <w:t>ies</w:t>
      </w:r>
      <w:r w:rsidR="0004041A" w:rsidRPr="000A0F11">
        <w:t xml:space="preserve"> in comparison to perovskites with utterly organic cations</w:t>
      </w:r>
      <w:r w:rsidR="005138D8" w:rsidRPr="000A0F11">
        <w:t>; whereas</w:t>
      </w:r>
      <w:r w:rsidR="0004041A" w:rsidRPr="000A0F11">
        <w:t xml:space="preserve"> results also reveal that</w:t>
      </w:r>
      <w:r w:rsidR="005138D8" w:rsidRPr="000A0F11">
        <w:t xml:space="preserve"> the former</w:t>
      </w:r>
      <w:r w:rsidR="0004041A" w:rsidRPr="000A0F11">
        <w:t xml:space="preserve"> achieve</w:t>
      </w:r>
      <w:r w:rsidR="004C2ECE" w:rsidRPr="000A0F11">
        <w:t xml:space="preserve"> </w:t>
      </w:r>
      <w:r w:rsidR="0004041A" w:rsidRPr="000A0F11">
        <w:t>lower efficiencies.</w:t>
      </w:r>
      <w:r w:rsidR="005138D8" w:rsidRPr="000A0F11">
        <w:fldChar w:fldCharType="begin" w:fldLock="1"/>
      </w:r>
      <w:r w:rsidR="005138D8" w:rsidRPr="000A0F11">
        <w:instrText>ADDIN CSL_CITATION { "citationItems" : [ { "id" : "ITEM-1", "itemData" : { "DOI" : "10.1039/C7EE01145H", "ISSN" : "1754-5692", "abstract" : "Two-dimensional (2D) organic\u2013inorganic perovskites have recently emerged as one of the most important thin-film solar cell materials owing to their excellent environmental stability. The remaining major pitfall is their relatively poor photovoltaic performance in contrast to 3D perovskites. In this work we demonstrate cesium cation (Cs+) doped 2D (BA)2(MA)3Pb4I13 perovskite solar cells giving a power conversion efficiency (PCE) as high as 13.7%, the highest among the reported 2D devices, with excellent humidity resistance. The enhanced efficiency from 12.3% (without Cs+) to 13.7% (with 5% Cs+) is attributed to perfectly controlled crystal orientation, an increased grain size of the 2D planes, superior surface quality, reduced trap-state density, enhanced charge-carrier mobility and charge-transfer kinetics. Surprisingly, it is found that the Cs+ doping yields superior stability for the 2D perovskite solar cells when subjected to a high humidity environment without encapsulation. The device doped using 5% Cs+ degrades only ca. 10% after 1400 hours of exposure in 30% relative humidity (RH), and exhibits significantly improved stability under heating and high moisture environments. Our results provide an important step toward air-stable and fully printable low dimensional perovskites as a next-generation renewable energy source.", "author" : [ { "dropping-particle" : "", "family" : "Zhang", "given" : "Xu", "non-dropping-particle" : "", "parse-names" : false, "suffix" : "" }, { "dropping-particle" : "", "family" : "Ren", "given" : "Xiaodong", "non-dropping-particle" : "", "parse-names" : false, "suffix" : "" }, { "dropping-particle" : "", "family" : "Liu", "given" : "Bin", "non-dropping-particle" : "", "parse-names" : false, "suffix" : "" }, { "dropping-particle" : "", "family" : "Munir", "given" : "Rahim", "non-dropping-particle" : "", "parse-names" : false, "suffix" : "" }, { "dropping-particle" : "", "family" : "Zhu", "given" : "Xuejie", "non-dropping-particle" : "", "parse-names" : false, "suffix" : "" }, { "dropping-particle" : "", "family" : "Yang", "given" : "Dong", "non-dropping-particle" : "", "parse-names" : false, "suffix" : "" }, { "dropping-particle" : "", "family" : "Li", "given" : "Jianbo", "non-dropping-particle" : "", "parse-names" : false, "suffix" : "" }, { "dropping-particle" : "", "family" : "Liu", "given" : "Yucheng", "non-dropping-particle" : "", "parse-names" : false, "suffix" : "" }, { "dropping-particle" : "", "family" : "Smilgies", "given" : "Detlef-M.", "non-dropping-particle" : "", "parse-names" : false, "suffix" : "" }, { "dropping-particle" : "", "family" : "Li", "given" : "Ruipeng", "non-dropping-particle" : "", "parse-names" : false, "suffix" : "" }, { "dropping-particle" : "", "family" : "Yang", "given" : "Zhou", "non-dropping-particle" : "", "parse-names" : false, "suffix" : "" }, { "dropping-particle" : "", "family" : "Niu", "given" : "Tianqi", "non-dropping-particle" : "", "parse-names" : false, "suffix" : "" }, { "dropping-particle" : "", "family" : "Wang", "given" : "Xiuli", "non-dropping-particle" : "", "parse-names" : false, "suffix" : "" }, { "dropping-particle" : "", "family" : "Amassian", "given" : "Aram", "non-dropping-particle" : "", "parse-names" : false, "suffix" : "" }, { "dropping-particle" : "", "family" : "Zhao", "given" : "Kui", "non-dropping-particle" : "", "parse-names" : false, "suffix" : "" }, { "dropping-particle" : "", "family" : "Liu", "given" : "Shengzhong (Frank)", "non-dropping-particle" : "", "parse-names" : false, "suffix" : "" } ], "container-title" : "Energy &amp; Environmental Science", "id" : "ITEM-1", "issue" : "10", "issued" : { "date-parts" : [ [ "2017" ] ] }, "page" : "2095-2102", "publisher" : "The Royal Society of Chemistry", "title" : "Stable high efficiency two-dimensional perovskite solar cells via cesium doping", "type" : "article-journal", "volume" : "10" }, "uris" : [ "http://www.mendeley.com/documents/?uuid=85a422fd-8b18-4355-b798-b09523e60eca" ] } ], "mendeley" : { "formattedCitation" : "&lt;sup&gt;58&lt;/sup&gt;", "plainTextFormattedCitation" : "58", "previouslyFormattedCitation" : "&lt;sup&gt;58&lt;/sup&gt;" }, "properties" : {  }, "schema" : "https://github.com/citation-style-language/schema/raw/master/csl-citation.json" }</w:instrText>
      </w:r>
      <w:r w:rsidR="005138D8" w:rsidRPr="000A0F11">
        <w:fldChar w:fldCharType="separate"/>
      </w:r>
      <w:r w:rsidR="005138D8" w:rsidRPr="000A0F11">
        <w:rPr>
          <w:noProof/>
          <w:vertAlign w:val="superscript"/>
        </w:rPr>
        <w:t>58</w:t>
      </w:r>
      <w:r w:rsidR="005138D8" w:rsidRPr="000A0F11">
        <w:fldChar w:fldCharType="end"/>
      </w:r>
      <w:r w:rsidR="0004041A" w:rsidRPr="000A0F11">
        <w:t xml:space="preserve"> </w:t>
      </w:r>
      <w:r w:rsidR="005138D8" w:rsidRPr="000A0F11">
        <w:t>I</w:t>
      </w:r>
      <w:r w:rsidR="0004041A" w:rsidRPr="000A0F11">
        <w:t>f a 20% of efficiency in the canonica</w:t>
      </w:r>
      <w:r w:rsidR="005138D8" w:rsidRPr="000A0F11">
        <w:t>l perovskite were assumed, a roughly 28% efficient multiple cation/anion would be necessary to get</w:t>
      </w:r>
      <w:r w:rsidR="00B1645A" w:rsidRPr="000A0F11">
        <w:t xml:space="preserve"> the same economic payback time, which is above the current record. Nevertheless, if a similar efficiency is attained, multiple cation/anion perovskite will present the upside of having a superior stability. </w:t>
      </w:r>
      <w:r w:rsidR="009D75F7" w:rsidRPr="000A0F11">
        <w:t>As a result, the economic benefits from the multiple cation/anion will be much higher because both a higher efficiency and a longer lifetime. Furthermore</w:t>
      </w:r>
      <w:r w:rsidR="0004041A" w:rsidRPr="000A0F11">
        <w:t xml:space="preserve">, the time that could take to recover the money invested in the deposition of the perovskite layer </w:t>
      </w:r>
      <w:r w:rsidR="009D75F7" w:rsidRPr="000A0F11">
        <w:t xml:space="preserve">with these aforementioned efficiencies </w:t>
      </w:r>
      <w:r w:rsidR="0004041A" w:rsidRPr="000A0F11">
        <w:t xml:space="preserve">is below 100 of minutes. </w:t>
      </w:r>
      <w:r w:rsidR="009D75F7" w:rsidRPr="000A0F11">
        <w:t>Current perovskite efficiencies endure</w:t>
      </w:r>
      <w:r w:rsidR="0004041A" w:rsidRPr="000A0F11">
        <w:t xml:space="preserve"> </w:t>
      </w:r>
      <w:r w:rsidR="009D75F7" w:rsidRPr="000A0F11">
        <w:t>thousands of hours maintaining a quite similar efficiency,</w:t>
      </w:r>
      <w:r w:rsidR="009D75F7" w:rsidRPr="000A0F11">
        <w:fldChar w:fldCharType="begin" w:fldLock="1"/>
      </w:r>
      <w:r w:rsidR="009D75F7" w:rsidRPr="000A0F11">
        <w:instrText>ADDIN CSL_CITATION { "citationItems" : [ { "id" : "ITEM-1", "itemData" : { "DOI" : "10.1039/C5EE02555A", "ISSN" : "1754-5692", "abstract" : "Methylammonium lead iodide perovskite solar cells with improved performance and stability have been successfully prepared by using a non-stoichiometric PbI2 : CH3NH3I ratio in the precursor solution, and yield a power conversion efficiency (PCE) of above 19% under 1 sun for the champion cell.", "author" : [ { "dropping-particle" : "", "family" : "Rold\u00e1n-Carmona", "given" : "C.", "non-dropping-particle" : "", "parse-names" : false, "suffix" : "" }, { "dropping-particle" : "", "family" : "Gratia", "given" : "P", "non-dropping-particle" : "", "parse-names" : false, "suffix" : "" }, { "dropping-particle" : "", "family" : "Zimmermann", "given" : "I", "non-dropping-particle" : "", "parse-names" : false, "suffix" : "" }, { "dropping-particle" : "", "family" : "Grancini", "given" : "G", "non-dropping-particle" : "", "parse-names" : false, "suffix" : "" }, { "dropping-particle" : "", "family" : "Gao", "given" : "P", "non-dropping-particle" : "", "parse-names" : false, "suffix" : "" }, { "dropping-particle" : "", "family" : "Graetzel", "given" : "M", "non-dropping-particle" : "", "parse-names" : false, "suffix" : "" }, { "dropping-particle" : "", "family" : "Nazeeruddin", "given" : "Mohammad Khaja", "non-dropping-particle" : "", "parse-names" : false, "suffix" : "" } ], "container-title" : "Energy &amp; Environmental Science", "id" : "ITEM-1", "issue" : "12", "issued" : { "date-parts" : [ [ "2015" ] ] }, "page" : "3550-3556", "publisher" : "The Royal Society of Chemistry", "title" : "High efficiency methylammonium lead triiodide perovskite solar cells: the relevance of non-stoichiometric precursors", "type" : "article-journal", "volume" : "8" }, "uris" : [ "http://www.mendeley.com/documents/?uuid=b29c0441-f62f-49b8-a6ef-a9ec932076ba" ] }, { "id" : "ITEM-2", "itemData" : { "DOI" : "10.1039/C5EE03874J", "ISBN" : "1215421109", "ISSN" : "1754-5692", "PMID" : "22393313", "abstract" : "Today's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"Gr\u00e4tzel", "given" : "Michael", "non-dropping-particle" : "", "parse-names" : false, "suffix" : "" } ], "container-title" : "Energy Environ. Sci.", "id" : "ITEM-2", "issue" : "6", "issued" : { "date-parts" : [ [ "2016", "6", "1" ] ] }, "page" : "1989-1997", "publisher" : "Royal Society of Chemistry", "title" : "Cesium-containing triple cation perovskite solar cells: improved stability, reproducibility and high efficiency", "type" : "article-journal", "volume" : "9" }, "uris" : [ "http://www.mendeley.com/documents/?uuid=1845d733-8e82-3f84-a224-b16955536ae5" ] } ], "mendeley" : { "formattedCitation" : "&lt;sup&gt;15,59&lt;/sup&gt;", "plainTextFormattedCitation" : "15,59", "previouslyFormattedCitation" : "&lt;sup&gt;15,59&lt;/sup&gt;" }, "properties" : {  }, "schema" : "https://github.com/citation-style-language/schema/raw/master/csl-citation.json" }</w:instrText>
      </w:r>
      <w:r w:rsidR="009D75F7" w:rsidRPr="000A0F11">
        <w:fldChar w:fldCharType="separate"/>
      </w:r>
      <w:r w:rsidR="009D75F7" w:rsidRPr="000A0F11">
        <w:rPr>
          <w:noProof/>
          <w:vertAlign w:val="superscript"/>
        </w:rPr>
        <w:t>15,59</w:t>
      </w:r>
      <w:r w:rsidR="009D75F7" w:rsidRPr="000A0F11">
        <w:fldChar w:fldCharType="end"/>
      </w:r>
      <w:r w:rsidR="009D75F7" w:rsidRPr="000A0F11">
        <w:t xml:space="preserve"> which is well above </w:t>
      </w:r>
      <w:r w:rsidR="0004041A" w:rsidRPr="000A0F11">
        <w:t xml:space="preserve">the time that </w:t>
      </w:r>
      <w:r w:rsidR="009D75F7" w:rsidRPr="000A0F11">
        <w:t xml:space="preserve">takes to recover the money invested in the deposition of these </w:t>
      </w:r>
      <w:r w:rsidR="0004041A" w:rsidRPr="000A0F11">
        <w:t>perovskite</w:t>
      </w:r>
      <w:r w:rsidR="009D75F7" w:rsidRPr="000A0F11">
        <w:t>s.</w:t>
      </w:r>
    </w:p>
    <w:p w14:paraId="267E6BA9" w14:textId="77777777" w:rsidR="000B3F04" w:rsidRPr="001B5503" w:rsidRDefault="000B3F04" w:rsidP="000B3F04">
      <w:pPr>
        <w:pStyle w:val="Ttulo1"/>
      </w:pPr>
      <w:r w:rsidRPr="001B5503">
        <w:t>Conclusions</w:t>
      </w:r>
    </w:p>
    <w:p w14:paraId="5AF4E75E" w14:textId="77777777" w:rsidR="00C54DD9" w:rsidRPr="001B5503" w:rsidRDefault="00B075FF" w:rsidP="008B42FE">
      <w:r w:rsidRPr="001B5503">
        <w:t>T</w:t>
      </w:r>
      <w:r w:rsidR="000B3F04" w:rsidRPr="001B5503">
        <w:t>he outc</w:t>
      </w:r>
      <w:r w:rsidR="00CA19BA" w:rsidRPr="001B5503">
        <w:t>omes of the comparison of</w:t>
      </w:r>
      <w:r w:rsidR="000B3F04" w:rsidRPr="001B5503">
        <w:t xml:space="preserve"> four</w:t>
      </w:r>
      <w:r w:rsidR="00CA19BA" w:rsidRPr="001B5503">
        <w:t xml:space="preserve"> perovskites</w:t>
      </w:r>
      <w:r w:rsidR="000B3F04" w:rsidRPr="001B5503">
        <w:t xml:space="preserve"> contain</w:t>
      </w:r>
      <w:r w:rsidR="00CA19BA" w:rsidRPr="001B5503">
        <w:t>ing</w:t>
      </w:r>
      <w:r w:rsidR="00D47B3E">
        <w:t xml:space="preserve"> </w:t>
      </w:r>
      <w:r w:rsidR="00C54DD9" w:rsidRPr="001B5503">
        <w:t>Cs</w:t>
      </w:r>
      <w:r w:rsidR="000B3F04" w:rsidRPr="001B5503">
        <w:t xml:space="preserve">, formamidinium and methylammonium as cation </w:t>
      </w:r>
      <w:r w:rsidR="00C54DD9" w:rsidRPr="001B5503">
        <w:t xml:space="preserve">and I and Br as anions </w:t>
      </w:r>
      <w:r w:rsidR="003F5EBC" w:rsidRPr="001B5503">
        <w:t xml:space="preserve">to </w:t>
      </w:r>
      <w:r w:rsidR="00C54DD9" w:rsidRPr="001B5503">
        <w:t>the</w:t>
      </w:r>
      <w:r w:rsidR="00D47B3E">
        <w:t xml:space="preserve"> </w:t>
      </w:r>
      <w:r w:rsidR="00803712" w:rsidRPr="001B5503">
        <w:t xml:space="preserve">canonical </w:t>
      </w:r>
      <w:r w:rsidR="000B3F04" w:rsidRPr="001B5503">
        <w:t xml:space="preserve">perovskite with </w:t>
      </w:r>
      <w:r w:rsidR="003F5EBC" w:rsidRPr="001B5503">
        <w:t>methylammonium cation</w:t>
      </w:r>
      <w:r w:rsidR="00C54DD9" w:rsidRPr="001B5503">
        <w:t xml:space="preserve"> and just I as anion </w:t>
      </w:r>
      <w:r w:rsidR="006E126D" w:rsidRPr="001B5503">
        <w:t>expose</w:t>
      </w:r>
      <w:r w:rsidR="00D47B3E">
        <w:t xml:space="preserve"> </w:t>
      </w:r>
      <w:r w:rsidR="00F36B74" w:rsidRPr="001B5503">
        <w:t>that</w:t>
      </w:r>
      <w:r w:rsidR="00C54DD9" w:rsidRPr="001B5503">
        <w:t xml:space="preserve"> multi</w:t>
      </w:r>
      <w:r w:rsidR="00097EA9" w:rsidRPr="001B5503">
        <w:t>ple</w:t>
      </w:r>
      <w:r w:rsidR="00C667C0" w:rsidRPr="001B5503">
        <w:t xml:space="preserve"> cation</w:t>
      </w:r>
      <w:r w:rsidR="00C54DD9" w:rsidRPr="001B5503">
        <w:t>/anion</w:t>
      </w:r>
      <w:r w:rsidR="00C667C0" w:rsidRPr="001B5503">
        <w:t xml:space="preserve"> perovskites</w:t>
      </w:r>
      <w:r w:rsidR="00D47B3E">
        <w:t xml:space="preserve"> </w:t>
      </w:r>
      <w:r w:rsidR="00C667C0" w:rsidRPr="001B5503">
        <w:t>are</w:t>
      </w:r>
      <w:r w:rsidR="00C54DD9" w:rsidRPr="001B5503">
        <w:t xml:space="preserve"> harmful for all the impact categories analysed except for </w:t>
      </w:r>
      <w:r w:rsidR="00097EA9" w:rsidRPr="001B5503">
        <w:t>a</w:t>
      </w:r>
      <w:r w:rsidR="00C54DD9" w:rsidRPr="001B5503">
        <w:t>biotic depletion potential (ADP)</w:t>
      </w:r>
      <w:r w:rsidR="000B3F04" w:rsidRPr="001B5503">
        <w:t>.</w:t>
      </w:r>
      <w:r w:rsidR="00C54DD9" w:rsidRPr="001B5503">
        <w:t xml:space="preserve"> The impact of multiple cation/perovskite is even more pronounced </w:t>
      </w:r>
      <w:r w:rsidR="00996292" w:rsidRPr="001B5503">
        <w:t xml:space="preserve">if </w:t>
      </w:r>
      <w:r w:rsidR="00C54DD9" w:rsidRPr="001B5503">
        <w:t xml:space="preserve">the energy used in the cell fabrication is not considered. </w:t>
      </w:r>
      <w:r w:rsidR="00097EA9" w:rsidRPr="001B5503">
        <w:t xml:space="preserve">Two are the main reasons of the higher impact of multiple </w:t>
      </w:r>
      <w:r w:rsidR="00097EA9" w:rsidRPr="001B5503">
        <w:lastRenderedPageBreak/>
        <w:t>cation/anion perovskites: The use of the anti-solving method and the utilization of FAI precursor. This work points out that the anti-solving method, that produce</w:t>
      </w:r>
      <w:r w:rsidR="00A23E6B">
        <w:t>s</w:t>
      </w:r>
      <w:r w:rsidR="00097EA9" w:rsidRPr="001B5503">
        <w:t xml:space="preserve"> outstanding results at lab scale, is not adequate for industrial implementation</w:t>
      </w:r>
      <w:r w:rsidR="008873D7" w:rsidRPr="001B5503">
        <w:t>. The reason behind this is</w:t>
      </w:r>
      <w:r w:rsidR="00097EA9" w:rsidRPr="001B5503">
        <w:t xml:space="preserve"> not </w:t>
      </w:r>
      <w:r w:rsidR="009267CE" w:rsidRPr="001B5503">
        <w:t>only</w:t>
      </w:r>
      <w:r w:rsidR="00D47B3E">
        <w:t xml:space="preserve"> </w:t>
      </w:r>
      <w:r w:rsidR="009267CE" w:rsidRPr="001B5503">
        <w:t>owing to</w:t>
      </w:r>
      <w:r w:rsidR="00097EA9" w:rsidRPr="001B5503">
        <w:t xml:space="preserve"> technical difficulties of its im</w:t>
      </w:r>
      <w:r w:rsidR="00373F50" w:rsidRPr="001B5503">
        <w:t xml:space="preserve">plementation </w:t>
      </w:r>
      <w:r w:rsidR="009267CE" w:rsidRPr="001B5503">
        <w:t>on</w:t>
      </w:r>
      <w:r w:rsidR="00373F50" w:rsidRPr="001B5503">
        <w:t xml:space="preserve"> larger substrat</w:t>
      </w:r>
      <w:r w:rsidR="00097EA9" w:rsidRPr="001B5503">
        <w:t>e sizes</w:t>
      </w:r>
      <w:r w:rsidR="008873D7" w:rsidRPr="001B5503">
        <w:t>,</w:t>
      </w:r>
      <w:r w:rsidR="00097EA9" w:rsidRPr="001B5503">
        <w:t xml:space="preserve"> but </w:t>
      </w:r>
      <w:r w:rsidR="008873D7" w:rsidRPr="001B5503">
        <w:t>also to</w:t>
      </w:r>
      <w:r w:rsidR="00097EA9" w:rsidRPr="001B5503">
        <w:t xml:space="preserve"> the increase of impacts. </w:t>
      </w:r>
      <w:r w:rsidR="00373F50" w:rsidRPr="001B5503">
        <w:t>On the other hand, FA cation is present in the efficiency record PSCs</w:t>
      </w:r>
      <w:r w:rsidR="00491BB8" w:rsidRPr="001B5503">
        <w:t>.</w:t>
      </w:r>
      <w:r w:rsidR="0099656C" w:rsidRPr="001B5503">
        <w:fldChar w:fldCharType="begin" w:fldLock="1"/>
      </w:r>
      <w:r w:rsidR="00230D77">
        <w:instrText>ADDIN CSL_CITATION { "citationItems" : [ { "id" : "ITEM-1", "itemData" : { "ISSN" : "18756786", "abstract" : "The current article reviews recent development of perovskite solar cell, highlighting operating principles, perovskite absorber, hole-transport contact, electron-selective contact and counter electrode. The existing problems of perovskite solar cells will be discussed according to the current research result, meanwhile the advances of it are also briefly summarized.", "author" : [ { "dropping-particle" : "", "family" : "Zhang", "given" : "Fei", "non-dropping-particle" : "", "parse-names" : false, "suffix" : "" }, { "dropping-particle" : "", "family" : "Wang", "given" : "Shirong", "non-dropping-particle" : "", "parse-names" : false, "suffix" : "" }, { "dropping-particle" : "", "family" : "Li", "given" : "Xianggao", "non-dropping-particle" : "", "parse-names" : false, "suffix" : "" }, { "dropping-particle" : "", "family" : "Xiao", "given" : "Yin", "non-dropping-particle" : "", "parse-names" : false, "suffix" : "" } ], "container-title" : "Current Nanoscience", "id" : "ITEM-1", "issue" : "2", "issued" : { "date-parts" : [ [ "2016" ] ] }, "note" : "Article situat en: Y:\\Proyectos_2014\\Perovskita\\Reviews", "page" : "137-156", "publisher" : "Bentham Science Publishers B.V.", "title" : "Recent progress of perovskite solar cells", "type" : "article-journal", "volume" : "12" }, "uris" : [ "http://www.mendeley.com/documents/?uuid=2c7b36db-a6be-49fa-8c56-0d88f0d92c75" ] }, { "id" : "ITEM-2", "itemData" : { "DOI" : "10.1126/science.aan2301", "ISSN" : "0036-8075", "abstract" : "The formation of a dense and uniform thin layer on the substrates is crucial for the fabrication of high-performance perovskite solar cells (PSCs) containing formamidinium with multiple cations and mixed halide anions. The concentration of defect states, which reduce a cell\u2019s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 "author" : [ { "dropping-particle" : "", "family" : "Yang", "given" : "Woon Seok", "non-dropping-particle" : "", "parse-names" : false, "suffix" : "" }, { "dropping-particle" : "", "family" : "Park", "given" : "Byung-Wook", "non-dropping-particle" : "", "parse-names" : false, "suffix" : "" }, { "dropping-particle" : "", "family" : "Jung", "given" : "Eui Hyuk", "non-dropping-particle" : "", "parse-names" : false, "suffix" : "" }, { "dropping-particle" : "", "family" : "Jeon", "given" : "Nam Joong", "non-dropping-particle" : "", "parse-names" : false, "suffix" : "" }, { "dropping-particle" : "", "family" : "Kim", "given" : "Young Chan", "non-dropping-particle" : "", "parse-names" : false, "suffix" : "" }, { "dropping-particle" : "", "family" : "Lee", "given" : "Dong Uk", "non-dropping-particle" : "", "parse-names" : false, "suffix" : "" }, { "dropping-particle" : "", "family" : "Shin", "given" : "Seong Sik", "non-dropping-particle" : "", "parse-names" : false, "suffix" : "" }, { "dropping-particle" : "", "family" : "Seo", "given" : "Jangwon", "non-dropping-particle" : "", "parse-names" : false, "suffix" : "" }, { "dropping-particle" : "", "family" : "Kim", "given" : "Eun Kyu", "non-dropping-particle" : "", "parse-names" : false, "suffix" : "" }, { "dropping-particle" : "", "family" : "Noh", "given" : "Jun Hong", "non-dropping-particle" : "", "parse-names" : false, "suffix" : "" }, { "dropping-particle" : "Il", "family" : "Seok", "given" : "Sang", "non-dropping-particle" : "", "parse-names" : false, "suffix" : "" } ], "container-title" : "Science", "id" : "ITEM-2", "issue" : "6345", "issued" : { "date-parts" : [ [ "2017", "6", "30" ] ] }, "page" : "1376-1379", "title" : "Iodide management in formamidinium-lead-halide\u2013based perovskite layers for efficient solar cells", "type" : "article-journal", "volume" : "356" }, "uris" : [ "http://www.mendeley.com/documents/?uuid=a021280d-c7f0-4718-9c60-ad168c9ff07a" ] }, { "id" : "ITEM-3", "itemData" : { "DOI" : "10.1126/science.aaa9272", "ISSN" : "0036-8075", "abstract" : "The band gap of formamidinium lead iodide (FAPbI&lt;inf&gt;3&lt;/inf&gt;) perovskites allows broader absorption of the solar spectrum relative to conventional methylammonium lead iodide (MAPbI&lt;inf&gt;3&lt;/inf&gt;). Because the optoelectronic properties of perovskite films are closely related to film quality, deposition of dense and uniform films is crucial for fabricating high-performance perovskite solar cells (PSCs). We report an approach for depositing high-quality FAPbI&lt;inf&gt;3&lt;/inf&gt; films, involving FAPbI&lt;inf&gt;3&lt;/inf&gt; crystallization by the direct intramolecular exchange of dimethylsulfoxide (DMSO) molecules intercalated in PbI&lt;inf&gt;2&lt;/inf&gt; with formamidinium iodide. This process produces FAPbI&lt;inf&gt;3&lt;/inf&gt; films with (111)-preferred crystallographic orientation, large-grained dense microstructures, and flat surfaces without residual PbI&lt;inf&gt;2&lt;/inf&gt;. Using films prepared by this technique, we fabricated FAPbI&lt;inf&gt;3&lt;/inf&gt;-based PSCs with maximum power conversion efficiency greater than 20%.", "author" : [ { "dropping-particle" : "", "family" : "Yang", "given" : "W. S.", "non-dropping-particle" : "", "parse-names" : false, "suffix" : "" }, { "dropping-particle" : "", "family" : "Noh", "given" : "J. H.", "non-dropping-particle" : "", "parse-names" : false, "suffix" : "" }, { "dropping-particle" : "", "family" : "Jeon", "given" : "N. J.", "non-dropping-particle" : "", "parse-names" : false, "suffix" : "" }, { "dropping-particle" : "", "family" : "Kim", "given" : "Y. C.", "non-dropping-particle" : "", "parse-names" : false, "suffix" : "" }, { "dropping-particle" : "", "family" : "Ryu", "given" : "S.", "non-dropping-particle" : "", "parse-names" : false, "suffix" : "" }, { "dropping-particle" : "", "family" : "Seo", "given" : "J.", "non-dropping-particle" : "", "parse-names" : false, "suffix" : "" }, { "dropping-particle" : "", "family" : "Seok", "given" : "S. I.", "non-dropping-particle" : "", "parse-names" : false, "suffix" : "" } ], "container-title" : "Science", "id" : "ITEM-3", "issue" : "6240", "issued" : { "date-parts" : [ [ "2015", "6", "12" ] ] }, "page" : "1234-1237", "publisher" : "American Association for the Advancement of Science", "title" : "High-performance photovoltaic perovskite layers fabricated through intramolecular exchange", "type" : "article-journal", "volume" : "348" }, "uris" : [ "http://www.mendeley.com/documents/?uuid=e906ea64-2f31-4647-8cb5-c438bc9e0f7a" ] }, { "id" : "ITEM-4", "itemData" : { "DOI" : "10.1038/nature14133",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"ITEM-4", "issue" : "7535", "issued" : { "date-parts" : [ [ "2015", "1", "7" ] ] }, "page" : "476-480", "publisher" : "Nature Publishing Group", "title" : "Compositional engineering of perovskite materials for high-performance solar cells", "type" : "article-journal", "volume" : "517" }, "uris" : [ "http://www.mendeley.com/documents/?uuid=53b3926a-b49d-4d5f-8442-5a5d8dae5741" ] } ], "mendeley" : { "formattedCitation" : "&lt;sup&gt;3\u20135,10&lt;/sup&gt;", "plainTextFormattedCitation" : "3\u20135,10", "previouslyFormattedCitation" : "&lt;sup&gt;3\u20135,10&lt;/sup&gt;" }, "properties" : {  }, "schema" : "https://github.com/citation-style-language/schema/raw/master/csl-citation.json" }</w:instrText>
      </w:r>
      <w:r w:rsidR="0099656C" w:rsidRPr="001B5503">
        <w:fldChar w:fldCharType="separate"/>
      </w:r>
      <w:r w:rsidR="009E3660" w:rsidRPr="001B5503">
        <w:rPr>
          <w:noProof/>
          <w:vertAlign w:val="superscript"/>
        </w:rPr>
        <w:t>3–5,10</w:t>
      </w:r>
      <w:r w:rsidR="0099656C" w:rsidRPr="001B5503">
        <w:fldChar w:fldCharType="end"/>
      </w:r>
      <w:r w:rsidR="00373F50" w:rsidRPr="001B5503">
        <w:t xml:space="preserve"> Nevertheless, the FAI chemical used in the multiple cation/anion perovskites synthesis increases significantly the impacts</w:t>
      </w:r>
      <w:r w:rsidR="008873D7" w:rsidRPr="001B5503">
        <w:t>. Moreover,</w:t>
      </w:r>
      <w:r w:rsidR="00373F50" w:rsidRPr="001B5503">
        <w:t xml:space="preserve"> it is the most expensive precursor causing an important increase of the cell cost in comparison with canonical devices using just MA as monovalent cation. </w:t>
      </w:r>
      <w:r w:rsidR="00D47B3E">
        <w:t xml:space="preserve">The current synthesis of this precursor needs to be optimised in order to reduce these impacts and cost. </w:t>
      </w:r>
      <w:r w:rsidR="00373F50" w:rsidRPr="001B5503">
        <w:t xml:space="preserve">In contrast, the partial </w:t>
      </w:r>
      <w:r w:rsidR="00FC4915" w:rsidRPr="001B5503">
        <w:t>substitution</w:t>
      </w:r>
      <w:r w:rsidR="00373F50" w:rsidRPr="001B5503">
        <w:t xml:space="preserve"> of I by Br </w:t>
      </w:r>
      <w:r w:rsidR="00FC4915" w:rsidRPr="001B5503">
        <w:t xml:space="preserve">anions </w:t>
      </w:r>
      <w:r w:rsidR="00373F50" w:rsidRPr="001B5503">
        <w:t xml:space="preserve">has </w:t>
      </w:r>
      <w:r w:rsidR="00FC4915" w:rsidRPr="001B5503">
        <w:t>positive consequences as it has practically</w:t>
      </w:r>
      <w:r w:rsidR="00373F50" w:rsidRPr="001B5503">
        <w:t xml:space="preserve"> no effect in terms of impact</w:t>
      </w:r>
      <w:r w:rsidR="00FC4915" w:rsidRPr="001B5503">
        <w:t>,</w:t>
      </w:r>
      <w:r w:rsidR="00D47B3E">
        <w:t xml:space="preserve"> </w:t>
      </w:r>
      <w:r w:rsidR="003D6B46" w:rsidRPr="001B5503">
        <w:t>nonetheless</w:t>
      </w:r>
      <w:r w:rsidR="00FC4915" w:rsidRPr="001B5503">
        <w:t xml:space="preserve"> reduc</w:t>
      </w:r>
      <w:r w:rsidR="003D6B46" w:rsidRPr="001B5503">
        <w:t>ing</w:t>
      </w:r>
      <w:r w:rsidR="00FC4915" w:rsidRPr="001B5503">
        <w:t xml:space="preserve"> the device cost</w:t>
      </w:r>
      <w:r w:rsidR="003D6B46" w:rsidRPr="001B5503">
        <w:t>,</w:t>
      </w:r>
      <w:r w:rsidR="00FC4915" w:rsidRPr="001B5503">
        <w:t xml:space="preserve"> as PbBr</w:t>
      </w:r>
      <w:r w:rsidR="00FC4915" w:rsidRPr="001B5503">
        <w:rPr>
          <w:vertAlign w:val="subscript"/>
        </w:rPr>
        <w:t>2</w:t>
      </w:r>
      <w:r w:rsidR="00FC4915" w:rsidRPr="001B5503">
        <w:t xml:space="preserve"> is remarkably cheaper than PbI</w:t>
      </w:r>
      <w:r w:rsidR="00FC4915" w:rsidRPr="001B5503">
        <w:rPr>
          <w:vertAlign w:val="subscript"/>
        </w:rPr>
        <w:t>2</w:t>
      </w:r>
      <w:r w:rsidR="00FC4915" w:rsidRPr="001B5503">
        <w:t>. The future utili</w:t>
      </w:r>
      <w:r w:rsidR="003D6B46" w:rsidRPr="001B5503">
        <w:t>s</w:t>
      </w:r>
      <w:r w:rsidR="00FC4915" w:rsidRPr="001B5503">
        <w:t>ation of multi</w:t>
      </w:r>
      <w:r w:rsidR="003D6B46" w:rsidRPr="001B5503">
        <w:t xml:space="preserve">ple </w:t>
      </w:r>
      <w:r w:rsidR="00FC4915" w:rsidRPr="001B5503">
        <w:t>cation</w:t>
      </w:r>
      <w:r w:rsidR="003D6B46" w:rsidRPr="001B5503">
        <w:t>/anion</w:t>
      </w:r>
      <w:r w:rsidR="00FC4915" w:rsidRPr="001B5503">
        <w:t xml:space="preserve"> in the industriali</w:t>
      </w:r>
      <w:r w:rsidR="003D6B46" w:rsidRPr="001B5503">
        <w:t>s</w:t>
      </w:r>
      <w:r w:rsidR="00FC4915" w:rsidRPr="001B5503">
        <w:t>ation of perovskite process need</w:t>
      </w:r>
      <w:r w:rsidR="003D6B46" w:rsidRPr="001B5503">
        <w:t>s</w:t>
      </w:r>
      <w:r w:rsidR="00FC4915" w:rsidRPr="001B5503">
        <w:t xml:space="preserve"> a detailed and balanced study of not </w:t>
      </w:r>
      <w:r w:rsidR="003D6B46" w:rsidRPr="001B5503">
        <w:t>only</w:t>
      </w:r>
      <w:r w:rsidR="00FC4915" w:rsidRPr="001B5503">
        <w:t xml:space="preserve"> efficiency but </w:t>
      </w:r>
      <w:r w:rsidR="003D6B46" w:rsidRPr="001B5503">
        <w:t xml:space="preserve">also </w:t>
      </w:r>
      <w:r w:rsidR="00FC4915" w:rsidRPr="001B5503">
        <w:t xml:space="preserve">impact and cost. </w:t>
      </w:r>
      <w:r w:rsidR="003D6B46" w:rsidRPr="001B5503">
        <w:t>For</w:t>
      </w:r>
      <w:r w:rsidR="00F71263">
        <w:t xml:space="preserve"> </w:t>
      </w:r>
      <w:r w:rsidR="00FC4915" w:rsidRPr="001B5503">
        <w:t>example, here we highlight that a canonical MAPbI</w:t>
      </w:r>
      <w:r w:rsidR="00FC4915" w:rsidRPr="001B5503">
        <w:rPr>
          <w:vertAlign w:val="subscript"/>
        </w:rPr>
        <w:t>3</w:t>
      </w:r>
      <w:r w:rsidR="00FC4915" w:rsidRPr="001B5503">
        <w:t xml:space="preserve"> with 1</w:t>
      </w:r>
      <w:r w:rsidR="00CE5151" w:rsidRPr="001B5503">
        <w:t>6</w:t>
      </w:r>
      <w:r w:rsidR="00FC4915" w:rsidRPr="001B5503">
        <w:t>% efficiency will be more attractive for industriali</w:t>
      </w:r>
      <w:r w:rsidR="003D6B46" w:rsidRPr="001B5503">
        <w:t>s</w:t>
      </w:r>
      <w:r w:rsidR="00FC4915" w:rsidRPr="001B5503">
        <w:t>ation</w:t>
      </w:r>
      <w:r w:rsidR="00E03F4B" w:rsidRPr="001B5503">
        <w:t xml:space="preserve">, </w:t>
      </w:r>
      <w:r w:rsidR="003D6B46" w:rsidRPr="001B5503">
        <w:t>as long as</w:t>
      </w:r>
      <w:r w:rsidR="00E03F4B" w:rsidRPr="001B5503">
        <w:t xml:space="preserve"> it can be prepared with enough stability,</w:t>
      </w:r>
      <w:r w:rsidR="00FC4915" w:rsidRPr="001B5503">
        <w:t xml:space="preserve"> tha</w:t>
      </w:r>
      <w:r w:rsidR="00E03F4B" w:rsidRPr="001B5503">
        <w:t>n</w:t>
      </w:r>
      <w:r w:rsidR="00F71263">
        <w:t xml:space="preserve"> </w:t>
      </w:r>
      <w:r w:rsidR="00FC4915" w:rsidRPr="001B5503">
        <w:t xml:space="preserve">multication cells </w:t>
      </w:r>
      <w:r w:rsidR="00E03F4B" w:rsidRPr="001B5503">
        <w:t xml:space="preserve">with FA and </w:t>
      </w:r>
      <w:r w:rsidR="00FC4915" w:rsidRPr="001B5503">
        <w:t xml:space="preserve">with the </w:t>
      </w:r>
      <w:r w:rsidR="00FC4915" w:rsidRPr="000A0F11">
        <w:t xml:space="preserve">current published </w:t>
      </w:r>
      <w:r w:rsidR="00E03F4B" w:rsidRPr="000A0F11">
        <w:t xml:space="preserve">record </w:t>
      </w:r>
      <w:r w:rsidR="00FC4915" w:rsidRPr="000A0F11">
        <w:t>efficiency of 22.</w:t>
      </w:r>
      <w:r w:rsidR="00AC521B" w:rsidRPr="000A0F11">
        <w:t>7</w:t>
      </w:r>
      <w:r w:rsidR="00FC4915" w:rsidRPr="000A0F11">
        <w:t>% as both present the same payback time but the</w:t>
      </w:r>
      <w:r w:rsidR="00FC4915" w:rsidRPr="001B5503">
        <w:t xml:space="preserve"> former </w:t>
      </w:r>
      <w:r w:rsidR="00E03F4B" w:rsidRPr="001B5503">
        <w:t>exhibit</w:t>
      </w:r>
      <w:r w:rsidR="00D04261" w:rsidRPr="001B5503">
        <w:t>s reduced impacts.</w:t>
      </w:r>
    </w:p>
    <w:p w14:paraId="005CEB1A" w14:textId="77777777" w:rsidR="00C13648" w:rsidRPr="001B5503" w:rsidRDefault="0053045E" w:rsidP="0053045E">
      <w:pPr>
        <w:pStyle w:val="Subttulo"/>
      </w:pPr>
      <w:r w:rsidRPr="001B5503">
        <w:t>Acknowledgements</w:t>
      </w:r>
    </w:p>
    <w:p w14:paraId="07B3F1C8" w14:textId="77777777" w:rsidR="0053045E" w:rsidRPr="001B5503" w:rsidRDefault="00F71263" w:rsidP="00F71263">
      <w:r w:rsidRPr="00343A6E">
        <w:rPr>
          <w:lang w:val="en-US"/>
        </w:rPr>
        <w:t>We acknowledge financial support from MINECO of Spain under Project MAT2016-76892-C3-1-R.</w:t>
      </w:r>
    </w:p>
    <w:p w14:paraId="1D4F3504" w14:textId="77777777" w:rsidR="0053045E" w:rsidRPr="001B5503" w:rsidRDefault="0053045E" w:rsidP="0053045E">
      <w:pPr>
        <w:pStyle w:val="Subttulo"/>
      </w:pPr>
      <w:r w:rsidRPr="001B5503">
        <w:t>Conflicts of interest</w:t>
      </w:r>
    </w:p>
    <w:p w14:paraId="02B19484" w14:textId="77777777" w:rsidR="0053045E" w:rsidRPr="001B5503" w:rsidRDefault="0053045E" w:rsidP="0053045E">
      <w:r w:rsidRPr="001B5503">
        <w:t>There are no conflicts to declare.</w:t>
      </w:r>
    </w:p>
    <w:p w14:paraId="719B4DC6" w14:textId="77777777" w:rsidR="006A35FF" w:rsidRPr="001B5503" w:rsidRDefault="00AE5DE8" w:rsidP="003D182D">
      <w:pPr>
        <w:pStyle w:val="Subttulo"/>
        <w:rPr>
          <w:rStyle w:val="Ttulodellibro"/>
          <w:b/>
          <w:bCs w:val="0"/>
          <w:smallCaps w:val="0"/>
          <w:spacing w:val="15"/>
        </w:rPr>
      </w:pPr>
      <w:r w:rsidRPr="001B5503">
        <w:rPr>
          <w:rStyle w:val="Ttulodellibro"/>
          <w:b/>
          <w:bCs w:val="0"/>
          <w:smallCaps w:val="0"/>
          <w:spacing w:val="15"/>
        </w:rPr>
        <w:t>References</w:t>
      </w:r>
    </w:p>
    <w:p w14:paraId="1E2E6E6B" w14:textId="15D26A8F" w:rsidR="005138D8" w:rsidRPr="005138D8" w:rsidRDefault="0099656C" w:rsidP="005138D8">
      <w:pPr>
        <w:widowControl w:val="0"/>
        <w:autoSpaceDE w:val="0"/>
        <w:autoSpaceDN w:val="0"/>
        <w:adjustRightInd w:val="0"/>
        <w:spacing w:line="240" w:lineRule="auto"/>
        <w:ind w:left="640" w:hanging="640"/>
        <w:rPr>
          <w:rFonts w:cs="Times New Roman"/>
          <w:noProof/>
          <w:szCs w:val="24"/>
        </w:rPr>
      </w:pPr>
      <w:r w:rsidRPr="001B5503">
        <w:fldChar w:fldCharType="begin" w:fldLock="1"/>
      </w:r>
      <w:r w:rsidR="0049617A" w:rsidRPr="001B5503">
        <w:instrText xml:space="preserve">ADDIN Mendeley Bibliography CSL_BIBLIOGRAPHY </w:instrText>
      </w:r>
      <w:r w:rsidRPr="001B5503">
        <w:fldChar w:fldCharType="separate"/>
      </w:r>
      <w:r w:rsidR="005138D8" w:rsidRPr="005138D8">
        <w:rPr>
          <w:rFonts w:cs="Times New Roman"/>
          <w:noProof/>
          <w:szCs w:val="24"/>
        </w:rPr>
        <w:t>1</w:t>
      </w:r>
      <w:r w:rsidR="005138D8" w:rsidRPr="005138D8">
        <w:rPr>
          <w:rFonts w:cs="Times New Roman"/>
          <w:noProof/>
          <w:szCs w:val="24"/>
        </w:rPr>
        <w:tab/>
        <w:t xml:space="preserve">A. Kojima, K. Teshima, Y. Shirai and T. Miyasaka, </w:t>
      </w:r>
      <w:r w:rsidR="005138D8" w:rsidRPr="005138D8">
        <w:rPr>
          <w:rFonts w:cs="Times New Roman"/>
          <w:i/>
          <w:iCs/>
          <w:noProof/>
          <w:szCs w:val="24"/>
        </w:rPr>
        <w:t>J. Am. Chem. Soc.</w:t>
      </w:r>
      <w:r w:rsidR="005138D8" w:rsidRPr="005138D8">
        <w:rPr>
          <w:rFonts w:cs="Times New Roman"/>
          <w:noProof/>
          <w:szCs w:val="24"/>
        </w:rPr>
        <w:t xml:space="preserve">, 2009, </w:t>
      </w:r>
      <w:r w:rsidR="005138D8" w:rsidRPr="005138D8">
        <w:rPr>
          <w:rFonts w:cs="Times New Roman"/>
          <w:b/>
          <w:bCs/>
          <w:noProof/>
          <w:szCs w:val="24"/>
        </w:rPr>
        <w:t>131</w:t>
      </w:r>
      <w:r w:rsidR="005138D8" w:rsidRPr="005138D8">
        <w:rPr>
          <w:rFonts w:cs="Times New Roman"/>
          <w:noProof/>
          <w:szCs w:val="24"/>
        </w:rPr>
        <w:t>, 6050–6051.</w:t>
      </w:r>
    </w:p>
    <w:p w14:paraId="764ED0EA"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w:t>
      </w:r>
      <w:r w:rsidRPr="005138D8">
        <w:rPr>
          <w:rFonts w:cs="Times New Roman"/>
          <w:noProof/>
          <w:szCs w:val="24"/>
        </w:rPr>
        <w:tab/>
        <w:t xml:space="preserve">H. J. Snaith, </w:t>
      </w:r>
      <w:r w:rsidRPr="005138D8">
        <w:rPr>
          <w:rFonts w:cs="Times New Roman"/>
          <w:i/>
          <w:iCs/>
          <w:noProof/>
          <w:szCs w:val="24"/>
        </w:rPr>
        <w:t>J. Phys. Chem. Lett.</w:t>
      </w:r>
      <w:r w:rsidRPr="005138D8">
        <w:rPr>
          <w:rFonts w:cs="Times New Roman"/>
          <w:noProof/>
          <w:szCs w:val="24"/>
        </w:rPr>
        <w:t xml:space="preserve">, 2013, </w:t>
      </w:r>
      <w:r w:rsidRPr="005138D8">
        <w:rPr>
          <w:rFonts w:cs="Times New Roman"/>
          <w:b/>
          <w:bCs/>
          <w:noProof/>
          <w:szCs w:val="24"/>
        </w:rPr>
        <w:t>4</w:t>
      </w:r>
      <w:r w:rsidRPr="005138D8">
        <w:rPr>
          <w:rFonts w:cs="Times New Roman"/>
          <w:noProof/>
          <w:szCs w:val="24"/>
        </w:rPr>
        <w:t>, 3623–3630.</w:t>
      </w:r>
    </w:p>
    <w:p w14:paraId="48B19D3D"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w:t>
      </w:r>
      <w:r w:rsidRPr="005138D8">
        <w:rPr>
          <w:rFonts w:cs="Times New Roman"/>
          <w:noProof/>
          <w:szCs w:val="24"/>
        </w:rPr>
        <w:tab/>
        <w:t xml:space="preserve">W. S. Yang, B.-W. Park, E. H. Jung, N. J. Jeon, Y. C. Kim, D. U. Lee, S. S. Shin, J. Seo, E. K. Kim, J. H. Noh and S. Il Seok, </w:t>
      </w:r>
      <w:r w:rsidRPr="005138D8">
        <w:rPr>
          <w:rFonts w:cs="Times New Roman"/>
          <w:i/>
          <w:iCs/>
          <w:noProof/>
          <w:szCs w:val="24"/>
        </w:rPr>
        <w:t>Science</w:t>
      </w:r>
      <w:r w:rsidRPr="005138D8">
        <w:rPr>
          <w:rFonts w:cs="Times New Roman"/>
          <w:noProof/>
          <w:szCs w:val="24"/>
        </w:rPr>
        <w:t xml:space="preserve">, 2017, </w:t>
      </w:r>
      <w:r w:rsidRPr="005138D8">
        <w:rPr>
          <w:rFonts w:cs="Times New Roman"/>
          <w:b/>
          <w:bCs/>
          <w:noProof/>
          <w:szCs w:val="24"/>
        </w:rPr>
        <w:t>356</w:t>
      </w:r>
      <w:r w:rsidRPr="005138D8">
        <w:rPr>
          <w:rFonts w:cs="Times New Roman"/>
          <w:noProof/>
          <w:szCs w:val="24"/>
        </w:rPr>
        <w:t>, 1376–1379.</w:t>
      </w:r>
    </w:p>
    <w:p w14:paraId="60EA0D4B"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w:t>
      </w:r>
      <w:r w:rsidRPr="005138D8">
        <w:rPr>
          <w:rFonts w:cs="Times New Roman"/>
          <w:noProof/>
          <w:szCs w:val="24"/>
        </w:rPr>
        <w:tab/>
        <w:t xml:space="preserve">W. S. Yang, J. H. Noh, N. J. Jeon, Y. C. Kim, S. Ryu, J. Seo and S. I. Seok, </w:t>
      </w:r>
      <w:r w:rsidRPr="005138D8">
        <w:rPr>
          <w:rFonts w:cs="Times New Roman"/>
          <w:i/>
          <w:iCs/>
          <w:noProof/>
          <w:szCs w:val="24"/>
        </w:rPr>
        <w:t>Science</w:t>
      </w:r>
      <w:r w:rsidRPr="005138D8">
        <w:rPr>
          <w:rFonts w:cs="Times New Roman"/>
          <w:noProof/>
          <w:szCs w:val="24"/>
        </w:rPr>
        <w:t xml:space="preserve">, 2015, </w:t>
      </w:r>
      <w:r w:rsidRPr="005138D8">
        <w:rPr>
          <w:rFonts w:cs="Times New Roman"/>
          <w:b/>
          <w:bCs/>
          <w:noProof/>
          <w:szCs w:val="24"/>
        </w:rPr>
        <w:t>348</w:t>
      </w:r>
      <w:r w:rsidRPr="005138D8">
        <w:rPr>
          <w:rFonts w:cs="Times New Roman"/>
          <w:noProof/>
          <w:szCs w:val="24"/>
        </w:rPr>
        <w:t>, 1234–1237.</w:t>
      </w:r>
    </w:p>
    <w:p w14:paraId="0E0CD1D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w:t>
      </w:r>
      <w:r w:rsidRPr="005138D8">
        <w:rPr>
          <w:rFonts w:cs="Times New Roman"/>
          <w:noProof/>
          <w:szCs w:val="24"/>
        </w:rPr>
        <w:tab/>
        <w:t xml:space="preserve">N. J. Jeon, J. H. Noh, W. S. Yang, Y. C. Kim, S. Ryu, J. Seo and S. Il Seok, </w:t>
      </w:r>
      <w:r w:rsidRPr="005138D8">
        <w:rPr>
          <w:rFonts w:cs="Times New Roman"/>
          <w:i/>
          <w:iCs/>
          <w:noProof/>
          <w:szCs w:val="24"/>
        </w:rPr>
        <w:t>Nature</w:t>
      </w:r>
      <w:r w:rsidRPr="005138D8">
        <w:rPr>
          <w:rFonts w:cs="Times New Roman"/>
          <w:noProof/>
          <w:szCs w:val="24"/>
        </w:rPr>
        <w:t xml:space="preserve">, 2015, </w:t>
      </w:r>
      <w:r w:rsidRPr="005138D8">
        <w:rPr>
          <w:rFonts w:cs="Times New Roman"/>
          <w:b/>
          <w:bCs/>
          <w:noProof/>
          <w:szCs w:val="24"/>
        </w:rPr>
        <w:t>517</w:t>
      </w:r>
      <w:r w:rsidRPr="005138D8">
        <w:rPr>
          <w:rFonts w:cs="Times New Roman"/>
          <w:noProof/>
          <w:szCs w:val="24"/>
        </w:rPr>
        <w:t>, 476–480.</w:t>
      </w:r>
    </w:p>
    <w:p w14:paraId="1CD9CAB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6</w:t>
      </w:r>
      <w:r w:rsidRPr="005138D8">
        <w:rPr>
          <w:rFonts w:cs="Times New Roman"/>
          <w:noProof/>
          <w:szCs w:val="24"/>
        </w:rPr>
        <w:tab/>
        <w:t xml:space="preserve">T. Leijtens, G. E. Eperon, N. K. Noel, S. N. Habisreutinger, A. Petrozza and H. J. Snaith, </w:t>
      </w:r>
      <w:r w:rsidRPr="005138D8">
        <w:rPr>
          <w:rFonts w:cs="Times New Roman"/>
          <w:i/>
          <w:iCs/>
          <w:noProof/>
          <w:szCs w:val="24"/>
        </w:rPr>
        <w:t>Adv. Energy Mater.</w:t>
      </w:r>
      <w:r w:rsidRPr="005138D8">
        <w:rPr>
          <w:rFonts w:cs="Times New Roman"/>
          <w:noProof/>
          <w:szCs w:val="24"/>
        </w:rPr>
        <w:t xml:space="preserve">, 2015, </w:t>
      </w:r>
      <w:r w:rsidRPr="005138D8">
        <w:rPr>
          <w:rFonts w:cs="Times New Roman"/>
          <w:b/>
          <w:bCs/>
          <w:noProof/>
          <w:szCs w:val="24"/>
        </w:rPr>
        <w:t>5</w:t>
      </w:r>
      <w:r w:rsidRPr="005138D8">
        <w:rPr>
          <w:rFonts w:cs="Times New Roman"/>
          <w:noProof/>
          <w:szCs w:val="24"/>
        </w:rPr>
        <w:t>, 1500963.</w:t>
      </w:r>
    </w:p>
    <w:p w14:paraId="6A41AFA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lastRenderedPageBreak/>
        <w:t>7</w:t>
      </w:r>
      <w:r w:rsidRPr="005138D8">
        <w:rPr>
          <w:rFonts w:cs="Times New Roman"/>
          <w:noProof/>
          <w:szCs w:val="24"/>
        </w:rPr>
        <w:tab/>
        <w:t xml:space="preserve">N.-G. Park, M. Grätzel, T. Miyasaka, K. Zhu and K. Emery, </w:t>
      </w:r>
      <w:r w:rsidRPr="005138D8">
        <w:rPr>
          <w:rFonts w:cs="Times New Roman"/>
          <w:i/>
          <w:iCs/>
          <w:noProof/>
          <w:szCs w:val="24"/>
        </w:rPr>
        <w:t>Nat. Energy</w:t>
      </w:r>
      <w:r w:rsidRPr="005138D8">
        <w:rPr>
          <w:rFonts w:cs="Times New Roman"/>
          <w:noProof/>
          <w:szCs w:val="24"/>
        </w:rPr>
        <w:t xml:space="preserve">, 2016, </w:t>
      </w:r>
      <w:r w:rsidRPr="005138D8">
        <w:rPr>
          <w:rFonts w:cs="Times New Roman"/>
          <w:b/>
          <w:bCs/>
          <w:noProof/>
          <w:szCs w:val="24"/>
        </w:rPr>
        <w:t>1</w:t>
      </w:r>
      <w:r w:rsidRPr="005138D8">
        <w:rPr>
          <w:rFonts w:cs="Times New Roman"/>
          <w:noProof/>
          <w:szCs w:val="24"/>
        </w:rPr>
        <w:t>, 16152.</w:t>
      </w:r>
    </w:p>
    <w:p w14:paraId="74FBB0B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8</w:t>
      </w:r>
      <w:r w:rsidRPr="005138D8">
        <w:rPr>
          <w:rFonts w:cs="Times New Roman"/>
          <w:noProof/>
          <w:szCs w:val="24"/>
        </w:rPr>
        <w:tab/>
        <w:t xml:space="preserve">G. Grancini, C. Roldán-Carmona, I. Zimmermann, E. Mosconi, X. Lee, D. Martineau, S. Narbey, F. Oswald, F. De Angelis, M. Graetzel and M. K. Nazeeruddin, </w:t>
      </w:r>
      <w:r w:rsidRPr="005138D8">
        <w:rPr>
          <w:rFonts w:cs="Times New Roman"/>
          <w:i/>
          <w:iCs/>
          <w:noProof/>
          <w:szCs w:val="24"/>
        </w:rPr>
        <w:t>Nat. Commun.</w:t>
      </w:r>
      <w:r w:rsidRPr="005138D8">
        <w:rPr>
          <w:rFonts w:cs="Times New Roman"/>
          <w:noProof/>
          <w:szCs w:val="24"/>
        </w:rPr>
        <w:t xml:space="preserve">, 2017, </w:t>
      </w:r>
      <w:r w:rsidRPr="005138D8">
        <w:rPr>
          <w:rFonts w:cs="Times New Roman"/>
          <w:b/>
          <w:bCs/>
          <w:noProof/>
          <w:szCs w:val="24"/>
        </w:rPr>
        <w:t>8</w:t>
      </w:r>
      <w:r w:rsidRPr="005138D8">
        <w:rPr>
          <w:rFonts w:cs="Times New Roman"/>
          <w:noProof/>
          <w:szCs w:val="24"/>
        </w:rPr>
        <w:t>, 15684.</w:t>
      </w:r>
    </w:p>
    <w:p w14:paraId="76B66425"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9</w:t>
      </w:r>
      <w:r w:rsidRPr="005138D8">
        <w:rPr>
          <w:rFonts w:cs="Times New Roman"/>
          <w:noProof/>
          <w:szCs w:val="24"/>
        </w:rPr>
        <w:tab/>
        <w:t xml:space="preserve">J. A. Christians, P. Schulz, J. S. Tinkham, T. H. Schloemer, S. P. Harvey, B. J. Tremolet de Villers, A. Sellinger, J. J. Berry and J. M. Luther, </w:t>
      </w:r>
      <w:r w:rsidRPr="005138D8">
        <w:rPr>
          <w:rFonts w:cs="Times New Roman"/>
          <w:i/>
          <w:iCs/>
          <w:noProof/>
          <w:szCs w:val="24"/>
        </w:rPr>
        <w:t>Nat. Energy</w:t>
      </w:r>
      <w:r w:rsidRPr="005138D8">
        <w:rPr>
          <w:rFonts w:cs="Times New Roman"/>
          <w:noProof/>
          <w:szCs w:val="24"/>
        </w:rPr>
        <w:t xml:space="preserve">, 2018, </w:t>
      </w:r>
      <w:r w:rsidRPr="005138D8">
        <w:rPr>
          <w:rFonts w:cs="Times New Roman"/>
          <w:b/>
          <w:bCs/>
          <w:noProof/>
          <w:szCs w:val="24"/>
        </w:rPr>
        <w:t>3</w:t>
      </w:r>
      <w:r w:rsidRPr="005138D8">
        <w:rPr>
          <w:rFonts w:cs="Times New Roman"/>
          <w:noProof/>
          <w:szCs w:val="24"/>
        </w:rPr>
        <w:t>, 68–74.</w:t>
      </w:r>
    </w:p>
    <w:p w14:paraId="4E2CC45F"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10</w:t>
      </w:r>
      <w:r w:rsidRPr="005138D8">
        <w:rPr>
          <w:rFonts w:cs="Times New Roman"/>
          <w:noProof/>
          <w:szCs w:val="24"/>
        </w:rPr>
        <w:tab/>
        <w:t xml:space="preserve">F. Zhang, S. Wang, X. Li and Y. Xiao, </w:t>
      </w:r>
      <w:r w:rsidRPr="005138D8">
        <w:rPr>
          <w:rFonts w:cs="Times New Roman"/>
          <w:i/>
          <w:iCs/>
          <w:noProof/>
          <w:szCs w:val="24"/>
        </w:rPr>
        <w:t>Curr. Nanosci.</w:t>
      </w:r>
      <w:r w:rsidRPr="005138D8">
        <w:rPr>
          <w:rFonts w:cs="Times New Roman"/>
          <w:noProof/>
          <w:szCs w:val="24"/>
        </w:rPr>
        <w:t xml:space="preserve">, 2016, </w:t>
      </w:r>
      <w:r w:rsidRPr="005138D8">
        <w:rPr>
          <w:rFonts w:cs="Times New Roman"/>
          <w:b/>
          <w:bCs/>
          <w:noProof/>
          <w:szCs w:val="24"/>
        </w:rPr>
        <w:t>12</w:t>
      </w:r>
      <w:r w:rsidRPr="005138D8">
        <w:rPr>
          <w:rFonts w:cs="Times New Roman"/>
          <w:noProof/>
          <w:szCs w:val="24"/>
        </w:rPr>
        <w:t>, 137–156.</w:t>
      </w:r>
    </w:p>
    <w:p w14:paraId="26763DC4"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11</w:t>
      </w:r>
      <w:r w:rsidRPr="005138D8">
        <w:rPr>
          <w:rFonts w:cs="Times New Roman"/>
          <w:noProof/>
          <w:szCs w:val="24"/>
        </w:rPr>
        <w:tab/>
        <w:t xml:space="preserve">J. W. Lee, D. J. Seol, A. N. Cho and N. G. Park, </w:t>
      </w:r>
      <w:r w:rsidRPr="005138D8">
        <w:rPr>
          <w:rFonts w:cs="Times New Roman"/>
          <w:i/>
          <w:iCs/>
          <w:noProof/>
          <w:szCs w:val="24"/>
        </w:rPr>
        <w:t>Adv. Mater.</w:t>
      </w:r>
      <w:r w:rsidRPr="005138D8">
        <w:rPr>
          <w:rFonts w:cs="Times New Roman"/>
          <w:noProof/>
          <w:szCs w:val="24"/>
        </w:rPr>
        <w:t xml:space="preserve">, 2014, </w:t>
      </w:r>
      <w:r w:rsidRPr="005138D8">
        <w:rPr>
          <w:rFonts w:cs="Times New Roman"/>
          <w:b/>
          <w:bCs/>
          <w:noProof/>
          <w:szCs w:val="24"/>
        </w:rPr>
        <w:t>26</w:t>
      </w:r>
      <w:r w:rsidRPr="005138D8">
        <w:rPr>
          <w:rFonts w:cs="Times New Roman"/>
          <w:noProof/>
          <w:szCs w:val="24"/>
        </w:rPr>
        <w:t>, 4991–4998.</w:t>
      </w:r>
    </w:p>
    <w:p w14:paraId="212C4619"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12</w:t>
      </w:r>
      <w:r w:rsidRPr="005138D8">
        <w:rPr>
          <w:rFonts w:cs="Times New Roman"/>
          <w:noProof/>
          <w:szCs w:val="24"/>
        </w:rPr>
        <w:tab/>
        <w:t xml:space="preserve">J. H. Noh, S. H. Im, J. H. Heo, T. N. Mandal and S. Il Seok, </w:t>
      </w:r>
      <w:r w:rsidRPr="005138D8">
        <w:rPr>
          <w:rFonts w:cs="Times New Roman"/>
          <w:i/>
          <w:iCs/>
          <w:noProof/>
          <w:szCs w:val="24"/>
        </w:rPr>
        <w:t>Nano Lett.</w:t>
      </w:r>
      <w:r w:rsidRPr="005138D8">
        <w:rPr>
          <w:rFonts w:cs="Times New Roman"/>
          <w:noProof/>
          <w:szCs w:val="24"/>
        </w:rPr>
        <w:t xml:space="preserve">, 2013, </w:t>
      </w:r>
      <w:r w:rsidRPr="005138D8">
        <w:rPr>
          <w:rFonts w:cs="Times New Roman"/>
          <w:b/>
          <w:bCs/>
          <w:noProof/>
          <w:szCs w:val="24"/>
        </w:rPr>
        <w:t>13</w:t>
      </w:r>
      <w:r w:rsidRPr="005138D8">
        <w:rPr>
          <w:rFonts w:cs="Times New Roman"/>
          <w:noProof/>
          <w:szCs w:val="24"/>
        </w:rPr>
        <w:t>, 1764–1769.</w:t>
      </w:r>
    </w:p>
    <w:p w14:paraId="3A89E1E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13</w:t>
      </w:r>
      <w:r w:rsidRPr="005138D8">
        <w:rPr>
          <w:rFonts w:cs="Times New Roman"/>
          <w:noProof/>
          <w:szCs w:val="24"/>
        </w:rPr>
        <w:tab/>
        <w:t xml:space="preserve">N. Pellet, P. Gao, G. Gregori, T. Y. Yang, M. K. Nazeeruddin, J. Maier and M. Grätzel, </w:t>
      </w:r>
      <w:r w:rsidRPr="005138D8">
        <w:rPr>
          <w:rFonts w:cs="Times New Roman"/>
          <w:i/>
          <w:iCs/>
          <w:noProof/>
          <w:szCs w:val="24"/>
        </w:rPr>
        <w:t>Angew. Chemie - Int. Ed.</w:t>
      </w:r>
      <w:r w:rsidRPr="005138D8">
        <w:rPr>
          <w:rFonts w:cs="Times New Roman"/>
          <w:noProof/>
          <w:szCs w:val="24"/>
        </w:rPr>
        <w:t xml:space="preserve">, 2014, </w:t>
      </w:r>
      <w:r w:rsidRPr="005138D8">
        <w:rPr>
          <w:rFonts w:cs="Times New Roman"/>
          <w:b/>
          <w:bCs/>
          <w:noProof/>
          <w:szCs w:val="24"/>
        </w:rPr>
        <w:t>53</w:t>
      </w:r>
      <w:r w:rsidRPr="005138D8">
        <w:rPr>
          <w:rFonts w:cs="Times New Roman"/>
          <w:noProof/>
          <w:szCs w:val="24"/>
        </w:rPr>
        <w:t>, 3151–3157.</w:t>
      </w:r>
    </w:p>
    <w:p w14:paraId="56AC5D4B"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14</w:t>
      </w:r>
      <w:r w:rsidRPr="005138D8">
        <w:rPr>
          <w:rFonts w:cs="Times New Roman"/>
          <w:noProof/>
          <w:szCs w:val="24"/>
        </w:rPr>
        <w:tab/>
        <w:t xml:space="preserve">F. Giordano, A. Abate, J. P. Correa Baena, M. Saliba, T. Matsui, S. H. Im, S. M. Zakeeruddin, M. K. Nazeeruddin, A. Hagfeldt and M. Graetzel, </w:t>
      </w:r>
      <w:r w:rsidRPr="005138D8">
        <w:rPr>
          <w:rFonts w:cs="Times New Roman"/>
          <w:i/>
          <w:iCs/>
          <w:noProof/>
          <w:szCs w:val="24"/>
        </w:rPr>
        <w:t>Nat. Commun.</w:t>
      </w:r>
      <w:r w:rsidRPr="005138D8">
        <w:rPr>
          <w:rFonts w:cs="Times New Roman"/>
          <w:noProof/>
          <w:szCs w:val="24"/>
        </w:rPr>
        <w:t xml:space="preserve">, 2016, </w:t>
      </w:r>
      <w:r w:rsidRPr="005138D8">
        <w:rPr>
          <w:rFonts w:cs="Times New Roman"/>
          <w:b/>
          <w:bCs/>
          <w:noProof/>
          <w:szCs w:val="24"/>
        </w:rPr>
        <w:t>7</w:t>
      </w:r>
      <w:r w:rsidRPr="005138D8">
        <w:rPr>
          <w:rFonts w:cs="Times New Roman"/>
          <w:noProof/>
          <w:szCs w:val="24"/>
        </w:rPr>
        <w:t>, 10379.</w:t>
      </w:r>
    </w:p>
    <w:p w14:paraId="2D83E22F"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15</w:t>
      </w:r>
      <w:r w:rsidRPr="005138D8">
        <w:rPr>
          <w:rFonts w:cs="Times New Roman"/>
          <w:noProof/>
          <w:szCs w:val="24"/>
        </w:rPr>
        <w:tab/>
        <w:t xml:space="preserve">M. Saliba, T. Matsui, J.-Y. Seo, K. Domanski, J.-P. Correa-Baena, M. K. Nazeeruddin, S. M. Zakeeruddin, W. Tress, A. Abate, A. Hagfeldt and M. Grätzel, </w:t>
      </w:r>
      <w:r w:rsidRPr="005138D8">
        <w:rPr>
          <w:rFonts w:cs="Times New Roman"/>
          <w:i/>
          <w:iCs/>
          <w:noProof/>
          <w:szCs w:val="24"/>
        </w:rPr>
        <w:t>Energy Environ. Sci.</w:t>
      </w:r>
      <w:r w:rsidRPr="005138D8">
        <w:rPr>
          <w:rFonts w:cs="Times New Roman"/>
          <w:noProof/>
          <w:szCs w:val="24"/>
        </w:rPr>
        <w:t xml:space="preserve">, 2016, </w:t>
      </w:r>
      <w:r w:rsidRPr="005138D8">
        <w:rPr>
          <w:rFonts w:cs="Times New Roman"/>
          <w:b/>
          <w:bCs/>
          <w:noProof/>
          <w:szCs w:val="24"/>
        </w:rPr>
        <w:t>9</w:t>
      </w:r>
      <w:r w:rsidRPr="005138D8">
        <w:rPr>
          <w:rFonts w:cs="Times New Roman"/>
          <w:noProof/>
          <w:szCs w:val="24"/>
        </w:rPr>
        <w:t>, 1989–1997.</w:t>
      </w:r>
    </w:p>
    <w:p w14:paraId="3788FA0B"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16</w:t>
      </w:r>
      <w:r w:rsidRPr="005138D8">
        <w:rPr>
          <w:rFonts w:cs="Times New Roman"/>
          <w:noProof/>
          <w:szCs w:val="24"/>
        </w:rPr>
        <w:tab/>
        <w:t xml:space="preserve">H. Cho, S.-H. Jeong, M.-H. Park, Y.-H. Kim, C. Wolf, C.-L. Lee, J. H. Heo, A. Sadhanala, N. Myoung, S. Yoo, S. H. Im, R. H. Friend and T.-W. Lee, </w:t>
      </w:r>
      <w:r w:rsidRPr="005138D8">
        <w:rPr>
          <w:rFonts w:cs="Times New Roman"/>
          <w:i/>
          <w:iCs/>
          <w:noProof/>
          <w:szCs w:val="24"/>
        </w:rPr>
        <w:t>Science</w:t>
      </w:r>
      <w:r w:rsidRPr="005138D8">
        <w:rPr>
          <w:rFonts w:cs="Times New Roman"/>
          <w:noProof/>
          <w:szCs w:val="24"/>
        </w:rPr>
        <w:t xml:space="preserve">, 2015, </w:t>
      </w:r>
      <w:r w:rsidRPr="005138D8">
        <w:rPr>
          <w:rFonts w:cs="Times New Roman"/>
          <w:b/>
          <w:bCs/>
          <w:noProof/>
          <w:szCs w:val="24"/>
        </w:rPr>
        <w:t>350</w:t>
      </w:r>
      <w:r w:rsidRPr="005138D8">
        <w:rPr>
          <w:rFonts w:cs="Times New Roman"/>
          <w:noProof/>
          <w:szCs w:val="24"/>
        </w:rPr>
        <w:t>, 1222–1225.</w:t>
      </w:r>
    </w:p>
    <w:p w14:paraId="1CED5117"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17</w:t>
      </w:r>
      <w:r w:rsidRPr="005138D8">
        <w:rPr>
          <w:rFonts w:cs="Times New Roman"/>
          <w:noProof/>
          <w:szCs w:val="24"/>
        </w:rPr>
        <w:tab/>
        <w:t xml:space="preserve">D. Bi, W. Tress, M. I. Dar, P. Gao, J. Luo, C. Renevier, K. Schenk, A. Abate, F. Giordano, J.-P. Correa Baena, J.-D. Decoppet, S. M. Zakeeruddin, M. K. Nazeeruddin, M. Gra tzel and A. Hagfeldt, </w:t>
      </w:r>
      <w:r w:rsidRPr="005138D8">
        <w:rPr>
          <w:rFonts w:cs="Times New Roman"/>
          <w:i/>
          <w:iCs/>
          <w:noProof/>
          <w:szCs w:val="24"/>
        </w:rPr>
        <w:t>Sci. Adv.</w:t>
      </w:r>
      <w:r w:rsidRPr="005138D8">
        <w:rPr>
          <w:rFonts w:cs="Times New Roman"/>
          <w:noProof/>
          <w:szCs w:val="24"/>
        </w:rPr>
        <w:t xml:space="preserve">, 2016, </w:t>
      </w:r>
      <w:r w:rsidRPr="005138D8">
        <w:rPr>
          <w:rFonts w:cs="Times New Roman"/>
          <w:b/>
          <w:bCs/>
          <w:noProof/>
          <w:szCs w:val="24"/>
        </w:rPr>
        <w:t>2</w:t>
      </w:r>
      <w:r w:rsidRPr="005138D8">
        <w:rPr>
          <w:rFonts w:cs="Times New Roman"/>
          <w:noProof/>
          <w:szCs w:val="24"/>
        </w:rPr>
        <w:t>, e1501170–e1501170.</w:t>
      </w:r>
    </w:p>
    <w:p w14:paraId="574C91B5"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18</w:t>
      </w:r>
      <w:r w:rsidRPr="005138D8">
        <w:rPr>
          <w:rFonts w:cs="Times New Roman"/>
          <w:noProof/>
          <w:szCs w:val="24"/>
        </w:rPr>
        <w:tab/>
        <w:t xml:space="preserve">S. Paek, P. Schouwink, E. N. Athanasopoulou, K. T. Cho, G. Grancini, Y. Lee, Y. Zhang, F. Stellacci, M. K. Nazeeruddin and P. Gao, </w:t>
      </w:r>
      <w:r w:rsidRPr="005138D8">
        <w:rPr>
          <w:rFonts w:cs="Times New Roman"/>
          <w:i/>
          <w:iCs/>
          <w:noProof/>
          <w:szCs w:val="24"/>
        </w:rPr>
        <w:t>Chem. Mater.</w:t>
      </w:r>
      <w:r w:rsidRPr="005138D8">
        <w:rPr>
          <w:rFonts w:cs="Times New Roman"/>
          <w:noProof/>
          <w:szCs w:val="24"/>
        </w:rPr>
        <w:t xml:space="preserve">, 2017, </w:t>
      </w:r>
      <w:r w:rsidRPr="005138D8">
        <w:rPr>
          <w:rFonts w:cs="Times New Roman"/>
          <w:b/>
          <w:bCs/>
          <w:noProof/>
          <w:szCs w:val="24"/>
        </w:rPr>
        <w:t>29</w:t>
      </w:r>
      <w:r w:rsidRPr="005138D8">
        <w:rPr>
          <w:rFonts w:cs="Times New Roman"/>
          <w:noProof/>
          <w:szCs w:val="24"/>
        </w:rPr>
        <w:t>, 3490–3498.</w:t>
      </w:r>
    </w:p>
    <w:p w14:paraId="2F7EA8FE"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19</w:t>
      </w:r>
      <w:r w:rsidRPr="005138D8">
        <w:rPr>
          <w:rFonts w:cs="Times New Roman"/>
          <w:noProof/>
          <w:szCs w:val="24"/>
        </w:rPr>
        <w:tab/>
        <w:t xml:space="preserve">M. Konstantakou, D. Perganti, P. Falaras and T. Stergiopoulos, </w:t>
      </w:r>
      <w:r w:rsidRPr="005138D8">
        <w:rPr>
          <w:rFonts w:cs="Times New Roman"/>
          <w:i/>
          <w:iCs/>
          <w:noProof/>
          <w:szCs w:val="24"/>
        </w:rPr>
        <w:t>Crystals</w:t>
      </w:r>
      <w:r w:rsidRPr="005138D8">
        <w:rPr>
          <w:rFonts w:cs="Times New Roman"/>
          <w:noProof/>
          <w:szCs w:val="24"/>
        </w:rPr>
        <w:t xml:space="preserve">, 2017, </w:t>
      </w:r>
      <w:r w:rsidRPr="005138D8">
        <w:rPr>
          <w:rFonts w:cs="Times New Roman"/>
          <w:b/>
          <w:bCs/>
          <w:noProof/>
          <w:szCs w:val="24"/>
        </w:rPr>
        <w:t>7</w:t>
      </w:r>
      <w:r w:rsidRPr="005138D8">
        <w:rPr>
          <w:rFonts w:cs="Times New Roman"/>
          <w:noProof/>
          <w:szCs w:val="24"/>
        </w:rPr>
        <w:t>, 291.</w:t>
      </w:r>
    </w:p>
    <w:p w14:paraId="2925E2C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20</w:t>
      </w:r>
      <w:r w:rsidRPr="005138D8">
        <w:rPr>
          <w:rFonts w:cs="Times New Roman"/>
          <w:noProof/>
          <w:szCs w:val="24"/>
        </w:rPr>
        <w:tab/>
        <w:t xml:space="preserve">Y. Li, J. Wang, Y. Yuan, X. Dong and P. Wang, </w:t>
      </w:r>
      <w:r w:rsidRPr="005138D8">
        <w:rPr>
          <w:rFonts w:cs="Times New Roman"/>
          <w:i/>
          <w:iCs/>
          <w:noProof/>
          <w:szCs w:val="24"/>
        </w:rPr>
        <w:t>Sustain. Energy Fuels</w:t>
      </w:r>
      <w:r w:rsidRPr="005138D8">
        <w:rPr>
          <w:rFonts w:cs="Times New Roman"/>
          <w:noProof/>
          <w:szCs w:val="24"/>
        </w:rPr>
        <w:t xml:space="preserve">, 2017, </w:t>
      </w:r>
      <w:r w:rsidRPr="005138D8">
        <w:rPr>
          <w:rFonts w:cs="Times New Roman"/>
          <w:b/>
          <w:bCs/>
          <w:noProof/>
          <w:szCs w:val="24"/>
        </w:rPr>
        <w:t>1</w:t>
      </w:r>
      <w:r w:rsidRPr="005138D8">
        <w:rPr>
          <w:rFonts w:cs="Times New Roman"/>
          <w:noProof/>
          <w:szCs w:val="24"/>
        </w:rPr>
        <w:t>, 1041–1048.</w:t>
      </w:r>
    </w:p>
    <w:p w14:paraId="2D78CEB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21</w:t>
      </w:r>
      <w:r w:rsidRPr="005138D8">
        <w:rPr>
          <w:rFonts w:cs="Times New Roman"/>
          <w:noProof/>
          <w:szCs w:val="24"/>
        </w:rPr>
        <w:tab/>
        <w:t xml:space="preserve">X. Zheng, B. Chen, C. Wu and S. Priya, </w:t>
      </w:r>
      <w:r w:rsidRPr="005138D8">
        <w:rPr>
          <w:rFonts w:cs="Times New Roman"/>
          <w:i/>
          <w:iCs/>
          <w:noProof/>
          <w:szCs w:val="24"/>
        </w:rPr>
        <w:t>Nano Energy</w:t>
      </w:r>
      <w:r w:rsidRPr="005138D8">
        <w:rPr>
          <w:rFonts w:cs="Times New Roman"/>
          <w:noProof/>
          <w:szCs w:val="24"/>
        </w:rPr>
        <w:t xml:space="preserve">, 2015, </w:t>
      </w:r>
      <w:r w:rsidRPr="005138D8">
        <w:rPr>
          <w:rFonts w:cs="Times New Roman"/>
          <w:b/>
          <w:bCs/>
          <w:noProof/>
          <w:szCs w:val="24"/>
        </w:rPr>
        <w:t>17</w:t>
      </w:r>
      <w:r w:rsidRPr="005138D8">
        <w:rPr>
          <w:rFonts w:cs="Times New Roman"/>
          <w:noProof/>
          <w:szCs w:val="24"/>
        </w:rPr>
        <w:t>, 269–278.</w:t>
      </w:r>
    </w:p>
    <w:p w14:paraId="0E9F431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22</w:t>
      </w:r>
      <w:r w:rsidRPr="005138D8">
        <w:rPr>
          <w:rFonts w:cs="Times New Roman"/>
          <w:noProof/>
          <w:szCs w:val="24"/>
        </w:rPr>
        <w:tab/>
        <w:t xml:space="preserve">W. Shockley and H. J. Queisser, </w:t>
      </w:r>
      <w:r w:rsidRPr="005138D8">
        <w:rPr>
          <w:rFonts w:cs="Times New Roman"/>
          <w:i/>
          <w:iCs/>
          <w:noProof/>
          <w:szCs w:val="24"/>
        </w:rPr>
        <w:t>J. Appl. Phys.</w:t>
      </w:r>
      <w:r w:rsidRPr="005138D8">
        <w:rPr>
          <w:rFonts w:cs="Times New Roman"/>
          <w:noProof/>
          <w:szCs w:val="24"/>
        </w:rPr>
        <w:t xml:space="preserve">, 1961, </w:t>
      </w:r>
      <w:r w:rsidRPr="005138D8">
        <w:rPr>
          <w:rFonts w:cs="Times New Roman"/>
          <w:b/>
          <w:bCs/>
          <w:noProof/>
          <w:szCs w:val="24"/>
        </w:rPr>
        <w:t>32</w:t>
      </w:r>
      <w:r w:rsidRPr="005138D8">
        <w:rPr>
          <w:rFonts w:cs="Times New Roman"/>
          <w:noProof/>
          <w:szCs w:val="24"/>
        </w:rPr>
        <w:t>, 510–519.</w:t>
      </w:r>
    </w:p>
    <w:p w14:paraId="0EDC649A"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23</w:t>
      </w:r>
      <w:r w:rsidRPr="005138D8">
        <w:rPr>
          <w:rFonts w:cs="Times New Roman"/>
          <w:noProof/>
          <w:szCs w:val="24"/>
        </w:rPr>
        <w:tab/>
        <w:t xml:space="preserve">C. C. Stoumpos, C. D. Malliakas and M. G. Kanatzidis, </w:t>
      </w:r>
      <w:r w:rsidRPr="005138D8">
        <w:rPr>
          <w:rFonts w:cs="Times New Roman"/>
          <w:i/>
          <w:iCs/>
          <w:noProof/>
          <w:szCs w:val="24"/>
        </w:rPr>
        <w:t>Inorg. Chem.</w:t>
      </w:r>
      <w:r w:rsidRPr="005138D8">
        <w:rPr>
          <w:rFonts w:cs="Times New Roman"/>
          <w:noProof/>
          <w:szCs w:val="24"/>
        </w:rPr>
        <w:t xml:space="preserve">, 2013, </w:t>
      </w:r>
      <w:r w:rsidRPr="005138D8">
        <w:rPr>
          <w:rFonts w:cs="Times New Roman"/>
          <w:b/>
          <w:bCs/>
          <w:noProof/>
          <w:szCs w:val="24"/>
        </w:rPr>
        <w:t>52</w:t>
      </w:r>
      <w:r w:rsidRPr="005138D8">
        <w:rPr>
          <w:rFonts w:cs="Times New Roman"/>
          <w:noProof/>
          <w:szCs w:val="24"/>
        </w:rPr>
        <w:t>, 9019–38.</w:t>
      </w:r>
    </w:p>
    <w:p w14:paraId="380C2CBB"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24</w:t>
      </w:r>
      <w:r w:rsidRPr="005138D8">
        <w:rPr>
          <w:rFonts w:cs="Times New Roman"/>
          <w:noProof/>
          <w:szCs w:val="24"/>
        </w:rPr>
        <w:tab/>
        <w:t xml:space="preserve">M. Kulbak, D. Cahen and G. Hodes, </w:t>
      </w:r>
      <w:r w:rsidRPr="005138D8">
        <w:rPr>
          <w:rFonts w:cs="Times New Roman"/>
          <w:i/>
          <w:iCs/>
          <w:noProof/>
          <w:szCs w:val="24"/>
        </w:rPr>
        <w:t>J. Phys. Chem. Lett.</w:t>
      </w:r>
      <w:r w:rsidRPr="005138D8">
        <w:rPr>
          <w:rFonts w:cs="Times New Roman"/>
          <w:noProof/>
          <w:szCs w:val="24"/>
        </w:rPr>
        <w:t xml:space="preserve">, 2015, </w:t>
      </w:r>
      <w:r w:rsidRPr="005138D8">
        <w:rPr>
          <w:rFonts w:cs="Times New Roman"/>
          <w:b/>
          <w:bCs/>
          <w:noProof/>
          <w:szCs w:val="24"/>
        </w:rPr>
        <w:t>6</w:t>
      </w:r>
      <w:r w:rsidRPr="005138D8">
        <w:rPr>
          <w:rFonts w:cs="Times New Roman"/>
          <w:noProof/>
          <w:szCs w:val="24"/>
        </w:rPr>
        <w:t>, 2452–2456.</w:t>
      </w:r>
    </w:p>
    <w:p w14:paraId="461CD20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25</w:t>
      </w:r>
      <w:r w:rsidRPr="005138D8">
        <w:rPr>
          <w:rFonts w:cs="Times New Roman"/>
          <w:noProof/>
          <w:szCs w:val="24"/>
        </w:rPr>
        <w:tab/>
        <w:t xml:space="preserve">F. Fabregat-Santiago, M. Kulbak, A. Zohar, M. Vallés-Pelarda, G. Hodes, D. Cahen and I. Mora-Seró, </w:t>
      </w:r>
      <w:r w:rsidRPr="005138D8">
        <w:rPr>
          <w:rFonts w:cs="Times New Roman"/>
          <w:i/>
          <w:iCs/>
          <w:noProof/>
          <w:szCs w:val="24"/>
        </w:rPr>
        <w:t>ACS Energy Lett.</w:t>
      </w:r>
      <w:r w:rsidRPr="005138D8">
        <w:rPr>
          <w:rFonts w:cs="Times New Roman"/>
          <w:noProof/>
          <w:szCs w:val="24"/>
        </w:rPr>
        <w:t xml:space="preserve">, 2017, </w:t>
      </w:r>
      <w:r w:rsidRPr="005138D8">
        <w:rPr>
          <w:rFonts w:cs="Times New Roman"/>
          <w:b/>
          <w:bCs/>
          <w:noProof/>
          <w:szCs w:val="24"/>
        </w:rPr>
        <w:t>2</w:t>
      </w:r>
      <w:r w:rsidRPr="005138D8">
        <w:rPr>
          <w:rFonts w:cs="Times New Roman"/>
          <w:noProof/>
          <w:szCs w:val="24"/>
        </w:rPr>
        <w:t>, 2007–2013.</w:t>
      </w:r>
    </w:p>
    <w:p w14:paraId="5AB25D6A"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lastRenderedPageBreak/>
        <w:t>26</w:t>
      </w:r>
      <w:r w:rsidRPr="005138D8">
        <w:rPr>
          <w:rFonts w:cs="Times New Roman"/>
          <w:noProof/>
          <w:szCs w:val="24"/>
        </w:rPr>
        <w:tab/>
        <w:t xml:space="preserve">C. K. MØLLER, </w:t>
      </w:r>
      <w:r w:rsidRPr="005138D8">
        <w:rPr>
          <w:rFonts w:cs="Times New Roman"/>
          <w:i/>
          <w:iCs/>
          <w:noProof/>
          <w:szCs w:val="24"/>
        </w:rPr>
        <w:t>Nature</w:t>
      </w:r>
      <w:r w:rsidRPr="005138D8">
        <w:rPr>
          <w:rFonts w:cs="Times New Roman"/>
          <w:noProof/>
          <w:szCs w:val="24"/>
        </w:rPr>
        <w:t xml:space="preserve">, 1958, </w:t>
      </w:r>
      <w:r w:rsidRPr="005138D8">
        <w:rPr>
          <w:rFonts w:cs="Times New Roman"/>
          <w:b/>
          <w:bCs/>
          <w:noProof/>
          <w:szCs w:val="24"/>
        </w:rPr>
        <w:t>182</w:t>
      </w:r>
      <w:r w:rsidRPr="005138D8">
        <w:rPr>
          <w:rFonts w:cs="Times New Roman"/>
          <w:noProof/>
          <w:szCs w:val="24"/>
        </w:rPr>
        <w:t>, 1436–1436.</w:t>
      </w:r>
    </w:p>
    <w:p w14:paraId="07B6838D"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27</w:t>
      </w:r>
      <w:r w:rsidRPr="005138D8">
        <w:rPr>
          <w:rFonts w:cs="Times New Roman"/>
          <w:noProof/>
          <w:szCs w:val="24"/>
        </w:rPr>
        <w:tab/>
        <w:t xml:space="preserve">J.-W. Lee, D.-H. Kim, H.-S. Kim, S.-W. Seo, S. M. Cho and N.-G. Park, </w:t>
      </w:r>
      <w:r w:rsidRPr="005138D8">
        <w:rPr>
          <w:rFonts w:cs="Times New Roman"/>
          <w:i/>
          <w:iCs/>
          <w:noProof/>
          <w:szCs w:val="24"/>
        </w:rPr>
        <w:t>Adv. Energy Mater.</w:t>
      </w:r>
      <w:r w:rsidRPr="005138D8">
        <w:rPr>
          <w:rFonts w:cs="Times New Roman"/>
          <w:noProof/>
          <w:szCs w:val="24"/>
        </w:rPr>
        <w:t xml:space="preserve">, 2015, </w:t>
      </w:r>
      <w:r w:rsidRPr="005138D8">
        <w:rPr>
          <w:rFonts w:cs="Times New Roman"/>
          <w:b/>
          <w:bCs/>
          <w:noProof/>
          <w:szCs w:val="24"/>
        </w:rPr>
        <w:t>5</w:t>
      </w:r>
      <w:r w:rsidRPr="005138D8">
        <w:rPr>
          <w:rFonts w:cs="Times New Roman"/>
          <w:noProof/>
          <w:szCs w:val="24"/>
        </w:rPr>
        <w:t>, 1501310.</w:t>
      </w:r>
    </w:p>
    <w:p w14:paraId="7FE17C1B"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28</w:t>
      </w:r>
      <w:r w:rsidRPr="005138D8">
        <w:rPr>
          <w:rFonts w:cs="Times New Roman"/>
          <w:noProof/>
          <w:szCs w:val="24"/>
        </w:rPr>
        <w:tab/>
        <w:t xml:space="preserve">G. B. Haxel, J. B. Hedrick, G. J. Orris, P. H. Stauffer and J. W. Hendley II, </w:t>
      </w:r>
      <w:r w:rsidRPr="005138D8">
        <w:rPr>
          <w:rFonts w:cs="Times New Roman"/>
          <w:i/>
          <w:iCs/>
          <w:noProof/>
          <w:szCs w:val="24"/>
        </w:rPr>
        <w:t>Rare earth elements: critical resources for high technology</w:t>
      </w:r>
      <w:r w:rsidRPr="005138D8">
        <w:rPr>
          <w:rFonts w:cs="Times New Roman"/>
          <w:noProof/>
          <w:szCs w:val="24"/>
        </w:rPr>
        <w:t>, 2002.</w:t>
      </w:r>
    </w:p>
    <w:p w14:paraId="0863076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541E5">
        <w:rPr>
          <w:rFonts w:cs="Times New Roman"/>
          <w:noProof/>
          <w:szCs w:val="24"/>
          <w:lang w:val="es-ES"/>
        </w:rPr>
        <w:t>29</w:t>
      </w:r>
      <w:r w:rsidRPr="005541E5">
        <w:rPr>
          <w:rFonts w:cs="Times New Roman"/>
          <w:noProof/>
          <w:szCs w:val="24"/>
          <w:lang w:val="es-ES"/>
        </w:rPr>
        <w:tab/>
        <w:t xml:space="preserve">N. Espinosa, L. Serrano-Luján, A. Urbina and F. C. Krebs, </w:t>
      </w:r>
      <w:r w:rsidRPr="005541E5">
        <w:rPr>
          <w:rFonts w:cs="Times New Roman"/>
          <w:i/>
          <w:iCs/>
          <w:noProof/>
          <w:szCs w:val="24"/>
          <w:lang w:val="es-ES"/>
        </w:rPr>
        <w:t xml:space="preserve">Sol. </w:t>
      </w:r>
      <w:r w:rsidRPr="005138D8">
        <w:rPr>
          <w:rFonts w:cs="Times New Roman"/>
          <w:i/>
          <w:iCs/>
          <w:noProof/>
          <w:szCs w:val="24"/>
        </w:rPr>
        <w:t>Energy Mater. Sol. Cells</w:t>
      </w:r>
      <w:r w:rsidRPr="005138D8">
        <w:rPr>
          <w:rFonts w:cs="Times New Roman"/>
          <w:noProof/>
          <w:szCs w:val="24"/>
        </w:rPr>
        <w:t xml:space="preserve">, 2015, </w:t>
      </w:r>
      <w:r w:rsidRPr="005138D8">
        <w:rPr>
          <w:rFonts w:cs="Times New Roman"/>
          <w:b/>
          <w:bCs/>
          <w:noProof/>
          <w:szCs w:val="24"/>
        </w:rPr>
        <w:t>137</w:t>
      </w:r>
      <w:r w:rsidRPr="005138D8">
        <w:rPr>
          <w:rFonts w:cs="Times New Roman"/>
          <w:noProof/>
          <w:szCs w:val="24"/>
        </w:rPr>
        <w:t>, 303–310.</w:t>
      </w:r>
    </w:p>
    <w:p w14:paraId="5A1ED98C"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30</w:t>
      </w:r>
      <w:r w:rsidRPr="005138D8">
        <w:rPr>
          <w:rFonts w:cs="Times New Roman"/>
          <w:noProof/>
          <w:szCs w:val="24"/>
        </w:rPr>
        <w:tab/>
        <w:t xml:space="preserve">J. Gong, S. B. Darling and F. You, </w:t>
      </w:r>
      <w:r w:rsidRPr="005138D8">
        <w:rPr>
          <w:rFonts w:cs="Times New Roman"/>
          <w:i/>
          <w:iCs/>
          <w:noProof/>
          <w:szCs w:val="24"/>
        </w:rPr>
        <w:t>Energy Environ. Sci.</w:t>
      </w:r>
      <w:r w:rsidRPr="005138D8">
        <w:rPr>
          <w:rFonts w:cs="Times New Roman"/>
          <w:noProof/>
          <w:szCs w:val="24"/>
        </w:rPr>
        <w:t xml:space="preserve">, 2015, </w:t>
      </w:r>
      <w:r w:rsidRPr="005138D8">
        <w:rPr>
          <w:rFonts w:cs="Times New Roman"/>
          <w:b/>
          <w:bCs/>
          <w:noProof/>
          <w:szCs w:val="24"/>
        </w:rPr>
        <w:t>8</w:t>
      </w:r>
      <w:r w:rsidRPr="005138D8">
        <w:rPr>
          <w:rFonts w:cs="Times New Roman"/>
          <w:noProof/>
          <w:szCs w:val="24"/>
        </w:rPr>
        <w:t>, 1953–1968.</w:t>
      </w:r>
    </w:p>
    <w:p w14:paraId="6C8CAA5F"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31</w:t>
      </w:r>
      <w:r w:rsidRPr="005138D8">
        <w:rPr>
          <w:rFonts w:cs="Times New Roman"/>
          <w:noProof/>
          <w:szCs w:val="24"/>
        </w:rPr>
        <w:tab/>
        <w:t xml:space="preserve">J. Zhang, X. Gao, Y. Deng, B. Li and C. Yuan, </w:t>
      </w:r>
      <w:r w:rsidRPr="005138D8">
        <w:rPr>
          <w:rFonts w:cs="Times New Roman"/>
          <w:i/>
          <w:iCs/>
          <w:noProof/>
          <w:szCs w:val="24"/>
        </w:rPr>
        <w:t>ChemSusChem</w:t>
      </w:r>
      <w:r w:rsidRPr="005138D8">
        <w:rPr>
          <w:rFonts w:cs="Times New Roman"/>
          <w:noProof/>
          <w:szCs w:val="24"/>
        </w:rPr>
        <w:t xml:space="preserve">, 2015, </w:t>
      </w:r>
      <w:r w:rsidRPr="005138D8">
        <w:rPr>
          <w:rFonts w:cs="Times New Roman"/>
          <w:b/>
          <w:bCs/>
          <w:noProof/>
          <w:szCs w:val="24"/>
        </w:rPr>
        <w:t>8</w:t>
      </w:r>
      <w:r w:rsidRPr="005138D8">
        <w:rPr>
          <w:rFonts w:cs="Times New Roman"/>
          <w:noProof/>
          <w:szCs w:val="24"/>
        </w:rPr>
        <w:t>, 3882–3891.</w:t>
      </w:r>
    </w:p>
    <w:p w14:paraId="6B70E88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541E5">
        <w:rPr>
          <w:rFonts w:cs="Times New Roman"/>
          <w:noProof/>
          <w:szCs w:val="24"/>
          <w:lang w:val="es-ES"/>
        </w:rPr>
        <w:t>32</w:t>
      </w:r>
      <w:r w:rsidRPr="005541E5">
        <w:rPr>
          <w:rFonts w:cs="Times New Roman"/>
          <w:noProof/>
          <w:szCs w:val="24"/>
          <w:lang w:val="es-ES"/>
        </w:rPr>
        <w:tab/>
        <w:t xml:space="preserve">L. Serrano-Lujan, N. Espinosa, T. T. Larsen-Olsen, J. Abad, A. Urbina and F. C. Krebs, </w:t>
      </w:r>
      <w:r w:rsidRPr="005541E5">
        <w:rPr>
          <w:rFonts w:cs="Times New Roman"/>
          <w:i/>
          <w:iCs/>
          <w:noProof/>
          <w:szCs w:val="24"/>
          <w:lang w:val="es-ES"/>
        </w:rPr>
        <w:t xml:space="preserve">Adv. </w:t>
      </w:r>
      <w:r w:rsidRPr="005138D8">
        <w:rPr>
          <w:rFonts w:cs="Times New Roman"/>
          <w:i/>
          <w:iCs/>
          <w:noProof/>
          <w:szCs w:val="24"/>
        </w:rPr>
        <w:t>Energy Mater.</w:t>
      </w:r>
      <w:r w:rsidRPr="005138D8">
        <w:rPr>
          <w:rFonts w:cs="Times New Roman"/>
          <w:noProof/>
          <w:szCs w:val="24"/>
        </w:rPr>
        <w:t xml:space="preserve">, 2015, </w:t>
      </w:r>
      <w:r w:rsidRPr="005138D8">
        <w:rPr>
          <w:rFonts w:cs="Times New Roman"/>
          <w:b/>
          <w:bCs/>
          <w:noProof/>
          <w:szCs w:val="24"/>
        </w:rPr>
        <w:t>5</w:t>
      </w:r>
      <w:r w:rsidRPr="005138D8">
        <w:rPr>
          <w:rFonts w:cs="Times New Roman"/>
          <w:noProof/>
          <w:szCs w:val="24"/>
        </w:rPr>
        <w:t>, 1501119.</w:t>
      </w:r>
    </w:p>
    <w:p w14:paraId="6595AA8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33</w:t>
      </w:r>
      <w:r w:rsidRPr="005138D8">
        <w:rPr>
          <w:rFonts w:cs="Times New Roman"/>
          <w:noProof/>
          <w:szCs w:val="24"/>
        </w:rPr>
        <w:tab/>
        <w:t xml:space="preserve">I. Celik, Z. Song, A. J. Cimaroli, Y. Yan, M. J. Heben and D. Apul, </w:t>
      </w:r>
      <w:r w:rsidRPr="005138D8">
        <w:rPr>
          <w:rFonts w:cs="Times New Roman"/>
          <w:i/>
          <w:iCs/>
          <w:noProof/>
          <w:szCs w:val="24"/>
        </w:rPr>
        <w:t>Sol. Energy Mater. Sol. Cells</w:t>
      </w:r>
      <w:r w:rsidRPr="005138D8">
        <w:rPr>
          <w:rFonts w:cs="Times New Roman"/>
          <w:noProof/>
          <w:szCs w:val="24"/>
        </w:rPr>
        <w:t xml:space="preserve">, 2016, </w:t>
      </w:r>
      <w:r w:rsidRPr="005138D8">
        <w:rPr>
          <w:rFonts w:cs="Times New Roman"/>
          <w:b/>
          <w:bCs/>
          <w:noProof/>
          <w:szCs w:val="24"/>
        </w:rPr>
        <w:t>156</w:t>
      </w:r>
      <w:r w:rsidRPr="005138D8">
        <w:rPr>
          <w:rFonts w:cs="Times New Roman"/>
          <w:noProof/>
          <w:szCs w:val="24"/>
        </w:rPr>
        <w:t>, 157–169.</w:t>
      </w:r>
    </w:p>
    <w:p w14:paraId="39BB15DE" w14:textId="77777777" w:rsidR="005138D8" w:rsidRPr="005541E5" w:rsidRDefault="005138D8" w:rsidP="005138D8">
      <w:pPr>
        <w:widowControl w:val="0"/>
        <w:autoSpaceDE w:val="0"/>
        <w:autoSpaceDN w:val="0"/>
        <w:adjustRightInd w:val="0"/>
        <w:spacing w:line="240" w:lineRule="auto"/>
        <w:ind w:left="640" w:hanging="640"/>
        <w:rPr>
          <w:rFonts w:cs="Times New Roman"/>
          <w:noProof/>
          <w:szCs w:val="24"/>
          <w:lang w:val="es-ES"/>
        </w:rPr>
      </w:pPr>
      <w:r w:rsidRPr="005138D8">
        <w:rPr>
          <w:rFonts w:cs="Times New Roman"/>
          <w:noProof/>
          <w:szCs w:val="24"/>
        </w:rPr>
        <w:t>34</w:t>
      </w:r>
      <w:r w:rsidRPr="005138D8">
        <w:rPr>
          <w:rFonts w:cs="Times New Roman"/>
          <w:noProof/>
          <w:szCs w:val="24"/>
        </w:rPr>
        <w:tab/>
        <w:t xml:space="preserve">M. Monteiro Lunardi, A. Wing Yi Ho-Baillie, J. P. Alvarez-Gaitan, S. Moore and R. Corkish, </w:t>
      </w:r>
      <w:r w:rsidRPr="005138D8">
        <w:rPr>
          <w:rFonts w:cs="Times New Roman"/>
          <w:i/>
          <w:iCs/>
          <w:noProof/>
          <w:szCs w:val="24"/>
        </w:rPr>
        <w:t xml:space="preserve">Prog. </w:t>
      </w:r>
      <w:r w:rsidRPr="005541E5">
        <w:rPr>
          <w:rFonts w:cs="Times New Roman"/>
          <w:i/>
          <w:iCs/>
          <w:noProof/>
          <w:szCs w:val="24"/>
          <w:lang w:val="es-ES"/>
        </w:rPr>
        <w:t>Photovoltaics Res. Appl.</w:t>
      </w:r>
      <w:r w:rsidRPr="005541E5">
        <w:rPr>
          <w:rFonts w:cs="Times New Roman"/>
          <w:noProof/>
          <w:szCs w:val="24"/>
          <w:lang w:val="es-ES"/>
        </w:rPr>
        <w:t xml:space="preserve">, 2017, </w:t>
      </w:r>
      <w:r w:rsidRPr="005541E5">
        <w:rPr>
          <w:rFonts w:cs="Times New Roman"/>
          <w:b/>
          <w:bCs/>
          <w:noProof/>
          <w:szCs w:val="24"/>
          <w:lang w:val="es-ES"/>
        </w:rPr>
        <w:t>25</w:t>
      </w:r>
      <w:r w:rsidRPr="005541E5">
        <w:rPr>
          <w:rFonts w:cs="Times New Roman"/>
          <w:noProof/>
          <w:szCs w:val="24"/>
          <w:lang w:val="es-ES"/>
        </w:rPr>
        <w:t>, 679–695.</w:t>
      </w:r>
    </w:p>
    <w:p w14:paraId="5942BAEA" w14:textId="77777777" w:rsidR="005138D8" w:rsidRPr="005541E5" w:rsidRDefault="005138D8" w:rsidP="005138D8">
      <w:pPr>
        <w:widowControl w:val="0"/>
        <w:autoSpaceDE w:val="0"/>
        <w:autoSpaceDN w:val="0"/>
        <w:adjustRightInd w:val="0"/>
        <w:spacing w:line="240" w:lineRule="auto"/>
        <w:ind w:left="640" w:hanging="640"/>
        <w:rPr>
          <w:rFonts w:cs="Times New Roman"/>
          <w:noProof/>
          <w:szCs w:val="24"/>
          <w:lang w:val="es-ES"/>
        </w:rPr>
      </w:pPr>
      <w:r w:rsidRPr="005541E5">
        <w:rPr>
          <w:rFonts w:cs="Times New Roman"/>
          <w:noProof/>
          <w:szCs w:val="24"/>
          <w:lang w:val="es-ES"/>
        </w:rPr>
        <w:t>35</w:t>
      </w:r>
      <w:r w:rsidRPr="005541E5">
        <w:rPr>
          <w:rFonts w:cs="Times New Roman"/>
          <w:noProof/>
          <w:szCs w:val="24"/>
          <w:lang w:val="es-ES"/>
        </w:rPr>
        <w:tab/>
        <w:t xml:space="preserve">J.-A. Alberola-Borràs, R. Vidal, E. J. Juárez-Pérez, E. Mas-Marzá, A. Guerrero and I. Mora-Seró, </w:t>
      </w:r>
      <w:r w:rsidRPr="005541E5">
        <w:rPr>
          <w:rFonts w:cs="Times New Roman"/>
          <w:i/>
          <w:iCs/>
          <w:noProof/>
          <w:szCs w:val="24"/>
          <w:lang w:val="es-ES"/>
        </w:rPr>
        <w:t>Sol. Energy Mater. Sol. Cells</w:t>
      </w:r>
      <w:r w:rsidRPr="005541E5">
        <w:rPr>
          <w:rFonts w:cs="Times New Roman"/>
          <w:noProof/>
          <w:szCs w:val="24"/>
          <w:lang w:val="es-ES"/>
        </w:rPr>
        <w:t xml:space="preserve">, 2018, </w:t>
      </w:r>
      <w:r w:rsidRPr="005541E5">
        <w:rPr>
          <w:rFonts w:cs="Times New Roman"/>
          <w:b/>
          <w:bCs/>
          <w:noProof/>
          <w:szCs w:val="24"/>
          <w:lang w:val="es-ES"/>
        </w:rPr>
        <w:t>179</w:t>
      </w:r>
      <w:r w:rsidRPr="005541E5">
        <w:rPr>
          <w:rFonts w:cs="Times New Roman"/>
          <w:noProof/>
          <w:szCs w:val="24"/>
          <w:lang w:val="es-ES"/>
        </w:rPr>
        <w:t>, 169–177.</w:t>
      </w:r>
    </w:p>
    <w:p w14:paraId="700997F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541E5">
        <w:rPr>
          <w:rFonts w:cs="Times New Roman"/>
          <w:noProof/>
          <w:szCs w:val="24"/>
          <w:lang w:val="es-ES"/>
        </w:rPr>
        <w:t>36</w:t>
      </w:r>
      <w:r w:rsidRPr="005541E5">
        <w:rPr>
          <w:rFonts w:cs="Times New Roman"/>
          <w:noProof/>
          <w:szCs w:val="24"/>
          <w:lang w:val="es-ES"/>
        </w:rPr>
        <w:tab/>
        <w:t xml:space="preserve">L. Huang, Z. Hu, J. Xu, X. Sun, Y. Du, J. Ni, H. Cai, J. Li and J. Zhang, </w:t>
      </w:r>
      <w:r w:rsidRPr="005541E5">
        <w:rPr>
          <w:rFonts w:cs="Times New Roman"/>
          <w:i/>
          <w:iCs/>
          <w:noProof/>
          <w:szCs w:val="24"/>
          <w:lang w:val="es-ES"/>
        </w:rPr>
        <w:t xml:space="preserve">Sol. </w:t>
      </w:r>
      <w:r w:rsidRPr="005138D8">
        <w:rPr>
          <w:rFonts w:cs="Times New Roman"/>
          <w:i/>
          <w:iCs/>
          <w:noProof/>
          <w:szCs w:val="24"/>
        </w:rPr>
        <w:t>Energy Mater. Sol. Cells</w:t>
      </w:r>
      <w:r w:rsidRPr="005138D8">
        <w:rPr>
          <w:rFonts w:cs="Times New Roman"/>
          <w:noProof/>
          <w:szCs w:val="24"/>
        </w:rPr>
        <w:t xml:space="preserve">, 2016, </w:t>
      </w:r>
      <w:r w:rsidRPr="005138D8">
        <w:rPr>
          <w:rFonts w:cs="Times New Roman"/>
          <w:b/>
          <w:bCs/>
          <w:noProof/>
          <w:szCs w:val="24"/>
        </w:rPr>
        <w:t>152</w:t>
      </w:r>
      <w:r w:rsidRPr="005138D8">
        <w:rPr>
          <w:rFonts w:cs="Times New Roman"/>
          <w:noProof/>
          <w:szCs w:val="24"/>
        </w:rPr>
        <w:t>, 118–124.</w:t>
      </w:r>
    </w:p>
    <w:p w14:paraId="3B17F3B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37</w:t>
      </w:r>
      <w:r w:rsidRPr="005138D8">
        <w:rPr>
          <w:rFonts w:cs="Times New Roman"/>
          <w:noProof/>
          <w:szCs w:val="24"/>
        </w:rPr>
        <w:tab/>
        <w:t xml:space="preserve">B. J. Kim, D. H. Kim, S. L. Kwon, S. Y. Park, Z. Li, K. Zhu and H. S. Jung, </w:t>
      </w:r>
      <w:r w:rsidRPr="005138D8">
        <w:rPr>
          <w:rFonts w:cs="Times New Roman"/>
          <w:i/>
          <w:iCs/>
          <w:noProof/>
          <w:szCs w:val="24"/>
        </w:rPr>
        <w:t>Nat. Commun.</w:t>
      </w:r>
      <w:r w:rsidRPr="005138D8">
        <w:rPr>
          <w:rFonts w:cs="Times New Roman"/>
          <w:noProof/>
          <w:szCs w:val="24"/>
        </w:rPr>
        <w:t xml:space="preserve">, 2016, </w:t>
      </w:r>
      <w:r w:rsidRPr="005138D8">
        <w:rPr>
          <w:rFonts w:cs="Times New Roman"/>
          <w:b/>
          <w:bCs/>
          <w:noProof/>
          <w:szCs w:val="24"/>
        </w:rPr>
        <w:t>7</w:t>
      </w:r>
      <w:r w:rsidRPr="005138D8">
        <w:rPr>
          <w:rFonts w:cs="Times New Roman"/>
          <w:noProof/>
          <w:szCs w:val="24"/>
        </w:rPr>
        <w:t>, 11735.</w:t>
      </w:r>
    </w:p>
    <w:p w14:paraId="20EC84AD"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38</w:t>
      </w:r>
      <w:r w:rsidRPr="005138D8">
        <w:rPr>
          <w:rFonts w:cs="Times New Roman"/>
          <w:noProof/>
          <w:szCs w:val="24"/>
        </w:rPr>
        <w:tab/>
        <w:t xml:space="preserve">J. Zhang, X. Gao, Y. Deng, Y. Zha and C. Yuan, </w:t>
      </w:r>
      <w:r w:rsidRPr="005138D8">
        <w:rPr>
          <w:rFonts w:cs="Times New Roman"/>
          <w:i/>
          <w:iCs/>
          <w:noProof/>
          <w:szCs w:val="24"/>
        </w:rPr>
        <w:t>Sol. Energy Mater. Sol. Cells</w:t>
      </w:r>
      <w:r w:rsidRPr="005138D8">
        <w:rPr>
          <w:rFonts w:cs="Times New Roman"/>
          <w:noProof/>
          <w:szCs w:val="24"/>
        </w:rPr>
        <w:t xml:space="preserve">, 2017, </w:t>
      </w:r>
      <w:r w:rsidRPr="005138D8">
        <w:rPr>
          <w:rFonts w:cs="Times New Roman"/>
          <w:b/>
          <w:bCs/>
          <w:noProof/>
          <w:szCs w:val="24"/>
        </w:rPr>
        <w:t>166</w:t>
      </w:r>
      <w:r w:rsidRPr="005138D8">
        <w:rPr>
          <w:rFonts w:cs="Times New Roman"/>
          <w:noProof/>
          <w:szCs w:val="24"/>
        </w:rPr>
        <w:t>, 9–17.</w:t>
      </w:r>
    </w:p>
    <w:p w14:paraId="2CAA9D3E"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39</w:t>
      </w:r>
      <w:r w:rsidRPr="005138D8">
        <w:rPr>
          <w:rFonts w:cs="Times New Roman"/>
          <w:noProof/>
          <w:szCs w:val="24"/>
        </w:rPr>
        <w:tab/>
        <w:t xml:space="preserve">T. Ibn-Mohammed, S. C. L. Koh, I. M. Reaney, A. Acquaye, G. Schileo, K. B. Mustapha and R. Greenough, </w:t>
      </w:r>
      <w:r w:rsidRPr="005138D8">
        <w:rPr>
          <w:rFonts w:cs="Times New Roman"/>
          <w:i/>
          <w:iCs/>
          <w:noProof/>
          <w:szCs w:val="24"/>
        </w:rPr>
        <w:t>Renew. Sustain. Energy Rev.</w:t>
      </w:r>
      <w:r w:rsidRPr="005138D8">
        <w:rPr>
          <w:rFonts w:cs="Times New Roman"/>
          <w:noProof/>
          <w:szCs w:val="24"/>
        </w:rPr>
        <w:t xml:space="preserve">, 2017, </w:t>
      </w:r>
      <w:r w:rsidRPr="005138D8">
        <w:rPr>
          <w:rFonts w:cs="Times New Roman"/>
          <w:b/>
          <w:bCs/>
          <w:noProof/>
          <w:szCs w:val="24"/>
        </w:rPr>
        <w:t>80</w:t>
      </w:r>
      <w:r w:rsidRPr="005138D8">
        <w:rPr>
          <w:rFonts w:cs="Times New Roman"/>
          <w:noProof/>
          <w:szCs w:val="24"/>
        </w:rPr>
        <w:t>, 1321–1344.</w:t>
      </w:r>
    </w:p>
    <w:p w14:paraId="285F167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40</w:t>
      </w:r>
      <w:r w:rsidRPr="005138D8">
        <w:rPr>
          <w:rFonts w:cs="Times New Roman"/>
          <w:noProof/>
          <w:szCs w:val="24"/>
        </w:rPr>
        <w:tab/>
        <w:t xml:space="preserve">J. H. Noh, N. J. Jeon, Y. C. Choi, M. K. Nazeeruddin, M. Grätzel and S. Il Seok, </w:t>
      </w:r>
      <w:r w:rsidRPr="005138D8">
        <w:rPr>
          <w:rFonts w:cs="Times New Roman"/>
          <w:i/>
          <w:iCs/>
          <w:noProof/>
          <w:szCs w:val="24"/>
        </w:rPr>
        <w:t>J. Mater. Chem. A</w:t>
      </w:r>
      <w:r w:rsidRPr="005138D8">
        <w:rPr>
          <w:rFonts w:cs="Times New Roman"/>
          <w:noProof/>
          <w:szCs w:val="24"/>
        </w:rPr>
        <w:t xml:space="preserve">, 2013, </w:t>
      </w:r>
      <w:r w:rsidRPr="005138D8">
        <w:rPr>
          <w:rFonts w:cs="Times New Roman"/>
          <w:b/>
          <w:bCs/>
          <w:noProof/>
          <w:szCs w:val="24"/>
        </w:rPr>
        <w:t>1</w:t>
      </w:r>
      <w:r w:rsidRPr="005138D8">
        <w:rPr>
          <w:rFonts w:cs="Times New Roman"/>
          <w:noProof/>
          <w:szCs w:val="24"/>
        </w:rPr>
        <w:t>, 11842.</w:t>
      </w:r>
    </w:p>
    <w:p w14:paraId="62EC8207"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41</w:t>
      </w:r>
      <w:r w:rsidRPr="005138D8">
        <w:rPr>
          <w:rFonts w:cs="Times New Roman"/>
          <w:noProof/>
          <w:szCs w:val="24"/>
        </w:rPr>
        <w:tab/>
        <w:t xml:space="preserve">F. Consoli, </w:t>
      </w:r>
      <w:r w:rsidRPr="005138D8">
        <w:rPr>
          <w:rFonts w:cs="Times New Roman"/>
          <w:i/>
          <w:iCs/>
          <w:noProof/>
          <w:szCs w:val="24"/>
        </w:rPr>
        <w:t>Guidelines for life-cycle assessment: a code of practice</w:t>
      </w:r>
      <w:r w:rsidRPr="005138D8">
        <w:rPr>
          <w:rFonts w:cs="Times New Roman"/>
          <w:noProof/>
          <w:szCs w:val="24"/>
        </w:rPr>
        <w:t>, Society of Environmental Toxicology and Chemistry, Brussels, Belgium, 1993.</w:t>
      </w:r>
    </w:p>
    <w:p w14:paraId="2645415A"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42</w:t>
      </w:r>
      <w:r w:rsidRPr="005138D8">
        <w:rPr>
          <w:rFonts w:cs="Times New Roman"/>
          <w:noProof/>
          <w:szCs w:val="24"/>
        </w:rPr>
        <w:tab/>
      </w:r>
      <w:r w:rsidRPr="005138D8">
        <w:rPr>
          <w:rFonts w:cs="Times New Roman"/>
          <w:i/>
          <w:iCs/>
          <w:noProof/>
          <w:szCs w:val="24"/>
        </w:rPr>
        <w:t>Environ. Sci. Pollut. Res.</w:t>
      </w:r>
      <w:r w:rsidRPr="005138D8">
        <w:rPr>
          <w:rFonts w:cs="Times New Roman"/>
          <w:noProof/>
          <w:szCs w:val="24"/>
        </w:rPr>
        <w:t xml:space="preserve">, 1994, </w:t>
      </w:r>
      <w:r w:rsidRPr="005138D8">
        <w:rPr>
          <w:rFonts w:cs="Times New Roman"/>
          <w:b/>
          <w:bCs/>
          <w:noProof/>
          <w:szCs w:val="24"/>
        </w:rPr>
        <w:t>1</w:t>
      </w:r>
      <w:r w:rsidRPr="005138D8">
        <w:rPr>
          <w:rFonts w:cs="Times New Roman"/>
          <w:noProof/>
          <w:szCs w:val="24"/>
        </w:rPr>
        <w:t>, 55–55.</w:t>
      </w:r>
    </w:p>
    <w:p w14:paraId="49E8E85F"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43</w:t>
      </w:r>
      <w:r w:rsidRPr="005138D8">
        <w:rPr>
          <w:rFonts w:cs="Times New Roman"/>
          <w:noProof/>
          <w:szCs w:val="24"/>
        </w:rPr>
        <w:tab/>
        <w:t xml:space="preserve">Y. Jiang, M. R. Leyden, L. Qiu, S. Wang, L. K. Ono, Z. Wu, E. J. Juarez-Perez and Y. Qi, </w:t>
      </w:r>
      <w:r w:rsidRPr="005138D8">
        <w:rPr>
          <w:rFonts w:cs="Times New Roman"/>
          <w:i/>
          <w:iCs/>
          <w:noProof/>
          <w:szCs w:val="24"/>
        </w:rPr>
        <w:t>Adv. Funct. Mater.</w:t>
      </w:r>
      <w:r w:rsidRPr="005138D8">
        <w:rPr>
          <w:rFonts w:cs="Times New Roman"/>
          <w:noProof/>
          <w:szCs w:val="24"/>
        </w:rPr>
        <w:t xml:space="preserve">, 2018, </w:t>
      </w:r>
      <w:r w:rsidRPr="005138D8">
        <w:rPr>
          <w:rFonts w:cs="Times New Roman"/>
          <w:b/>
          <w:bCs/>
          <w:noProof/>
          <w:szCs w:val="24"/>
        </w:rPr>
        <w:t>28</w:t>
      </w:r>
      <w:r w:rsidRPr="005138D8">
        <w:rPr>
          <w:rFonts w:cs="Times New Roman"/>
          <w:noProof/>
          <w:szCs w:val="24"/>
        </w:rPr>
        <w:t>, 1703835.</w:t>
      </w:r>
    </w:p>
    <w:p w14:paraId="072753B7"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44</w:t>
      </w:r>
      <w:r w:rsidRPr="005138D8">
        <w:rPr>
          <w:rFonts w:cs="Times New Roman"/>
          <w:noProof/>
          <w:szCs w:val="24"/>
        </w:rPr>
        <w:tab/>
        <w:t xml:space="preserve">R. Frischknecht, N. Jungbluth, H. J. Althaus, G. Doka, R. Dones, T. Heck, S. Hellweg, R. </w:t>
      </w:r>
      <w:r w:rsidRPr="005138D8">
        <w:rPr>
          <w:rFonts w:cs="Times New Roman"/>
          <w:noProof/>
          <w:szCs w:val="24"/>
        </w:rPr>
        <w:lastRenderedPageBreak/>
        <w:t xml:space="preserve">Hischier, T. Nemecek, G. Rebitzer and M. Spielmann, </w:t>
      </w:r>
      <w:r w:rsidRPr="005138D8">
        <w:rPr>
          <w:rFonts w:cs="Times New Roman"/>
          <w:i/>
          <w:iCs/>
          <w:noProof/>
          <w:szCs w:val="24"/>
        </w:rPr>
        <w:t>Int. J. Life Cycle Assess.</w:t>
      </w:r>
      <w:r w:rsidRPr="005138D8">
        <w:rPr>
          <w:rFonts w:cs="Times New Roman"/>
          <w:noProof/>
          <w:szCs w:val="24"/>
        </w:rPr>
        <w:t>, 2005, 10, 3–9.</w:t>
      </w:r>
    </w:p>
    <w:p w14:paraId="0AC346BC"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45</w:t>
      </w:r>
      <w:r w:rsidRPr="005138D8">
        <w:rPr>
          <w:rFonts w:cs="Times New Roman"/>
          <w:noProof/>
          <w:szCs w:val="24"/>
        </w:rPr>
        <w:tab/>
        <w:t xml:space="preserve">F. Eloy, R. Lenaers and C. Moussebois, </w:t>
      </w:r>
      <w:r w:rsidRPr="005138D8">
        <w:rPr>
          <w:rFonts w:cs="Times New Roman"/>
          <w:i/>
          <w:iCs/>
          <w:noProof/>
          <w:szCs w:val="24"/>
        </w:rPr>
        <w:t>Helv. Chim. Acta</w:t>
      </w:r>
      <w:r w:rsidRPr="005138D8">
        <w:rPr>
          <w:rFonts w:cs="Times New Roman"/>
          <w:noProof/>
          <w:szCs w:val="24"/>
        </w:rPr>
        <w:t xml:space="preserve">, 1962, </w:t>
      </w:r>
      <w:r w:rsidRPr="005138D8">
        <w:rPr>
          <w:rFonts w:cs="Times New Roman"/>
          <w:b/>
          <w:bCs/>
          <w:noProof/>
          <w:szCs w:val="24"/>
        </w:rPr>
        <w:t>45</w:t>
      </w:r>
      <w:r w:rsidRPr="005138D8">
        <w:rPr>
          <w:rFonts w:cs="Times New Roman"/>
          <w:noProof/>
          <w:szCs w:val="24"/>
        </w:rPr>
        <w:t>, 437–441.</w:t>
      </w:r>
    </w:p>
    <w:p w14:paraId="007D5711"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46</w:t>
      </w:r>
      <w:r w:rsidRPr="005138D8">
        <w:rPr>
          <w:rFonts w:cs="Times New Roman"/>
          <w:noProof/>
          <w:szCs w:val="24"/>
        </w:rPr>
        <w:tab/>
        <w:t xml:space="preserve">W. Lossen and P. Schifferdecker, </w:t>
      </w:r>
      <w:r w:rsidRPr="005138D8">
        <w:rPr>
          <w:rFonts w:cs="Times New Roman"/>
          <w:i/>
          <w:iCs/>
          <w:noProof/>
          <w:szCs w:val="24"/>
        </w:rPr>
        <w:t>Justus Liebig’s Ann. der Chemie und Pharm.</w:t>
      </w:r>
      <w:r w:rsidRPr="005138D8">
        <w:rPr>
          <w:rFonts w:cs="Times New Roman"/>
          <w:noProof/>
          <w:szCs w:val="24"/>
        </w:rPr>
        <w:t xml:space="preserve">, 1873, </w:t>
      </w:r>
      <w:r w:rsidRPr="005138D8">
        <w:rPr>
          <w:rFonts w:cs="Times New Roman"/>
          <w:b/>
          <w:bCs/>
          <w:noProof/>
          <w:szCs w:val="24"/>
        </w:rPr>
        <w:t>166</w:t>
      </w:r>
      <w:r w:rsidRPr="005138D8">
        <w:rPr>
          <w:rFonts w:cs="Times New Roman"/>
          <w:noProof/>
          <w:szCs w:val="24"/>
        </w:rPr>
        <w:t>, 295–320.</w:t>
      </w:r>
    </w:p>
    <w:p w14:paraId="6381E69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47</w:t>
      </w:r>
      <w:r w:rsidRPr="005138D8">
        <w:rPr>
          <w:rFonts w:cs="Times New Roman"/>
          <w:noProof/>
          <w:szCs w:val="24"/>
        </w:rPr>
        <w:tab/>
        <w:t>US6436879B1, 2002, 1–12.</w:t>
      </w:r>
    </w:p>
    <w:p w14:paraId="097715C8"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48</w:t>
      </w:r>
      <w:r w:rsidRPr="005138D8">
        <w:rPr>
          <w:rFonts w:cs="Times New Roman"/>
          <w:noProof/>
          <w:szCs w:val="24"/>
        </w:rPr>
        <w:tab/>
        <w:t xml:space="preserve">H. de Bruijn, R. van Duin and M. A. J. Huijbregts, </w:t>
      </w:r>
      <w:r w:rsidRPr="005138D8">
        <w:rPr>
          <w:rFonts w:cs="Times New Roman"/>
          <w:i/>
          <w:iCs/>
          <w:noProof/>
          <w:szCs w:val="24"/>
        </w:rPr>
        <w:t>Handbook on Life Cycle Assessment</w:t>
      </w:r>
      <w:r w:rsidRPr="005138D8">
        <w:rPr>
          <w:rFonts w:cs="Times New Roman"/>
          <w:noProof/>
          <w:szCs w:val="24"/>
        </w:rPr>
        <w:t>, Springer Netherlands, Dordrecht, 2002, vol. 7.</w:t>
      </w:r>
    </w:p>
    <w:p w14:paraId="388B5513"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49</w:t>
      </w:r>
      <w:r w:rsidRPr="005138D8">
        <w:rPr>
          <w:rFonts w:cs="Times New Roman"/>
          <w:noProof/>
          <w:szCs w:val="24"/>
        </w:rPr>
        <w:tab/>
        <w:t xml:space="preserve">M. Gorrée, J. B. Guinée, G. Huppes and L. van Oers, </w:t>
      </w:r>
      <w:r w:rsidRPr="005138D8">
        <w:rPr>
          <w:rFonts w:cs="Times New Roman"/>
          <w:i/>
          <w:iCs/>
          <w:noProof/>
          <w:szCs w:val="24"/>
        </w:rPr>
        <w:t>Int. J. Life Cycle Assess.</w:t>
      </w:r>
      <w:r w:rsidRPr="005138D8">
        <w:rPr>
          <w:rFonts w:cs="Times New Roman"/>
          <w:noProof/>
          <w:szCs w:val="24"/>
        </w:rPr>
        <w:t xml:space="preserve">, 2002, </w:t>
      </w:r>
      <w:r w:rsidRPr="005138D8">
        <w:rPr>
          <w:rFonts w:cs="Times New Roman"/>
          <w:b/>
          <w:bCs/>
          <w:noProof/>
          <w:szCs w:val="24"/>
        </w:rPr>
        <w:t>7</w:t>
      </w:r>
      <w:r w:rsidRPr="005138D8">
        <w:rPr>
          <w:rFonts w:cs="Times New Roman"/>
          <w:noProof/>
          <w:szCs w:val="24"/>
        </w:rPr>
        <w:t>, 158–166.</w:t>
      </w:r>
    </w:p>
    <w:p w14:paraId="544B9550"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50</w:t>
      </w:r>
      <w:r w:rsidRPr="005138D8">
        <w:rPr>
          <w:rFonts w:cs="Times New Roman"/>
          <w:noProof/>
          <w:szCs w:val="24"/>
        </w:rPr>
        <w:tab/>
        <w:t xml:space="preserve">J. Emsley, </w:t>
      </w:r>
      <w:r w:rsidRPr="005138D8">
        <w:rPr>
          <w:rFonts w:cs="Times New Roman"/>
          <w:i/>
          <w:iCs/>
          <w:noProof/>
          <w:szCs w:val="24"/>
        </w:rPr>
        <w:t>Nature’s Building Blocks: An A-Z Guide to the Elements</w:t>
      </w:r>
      <w:r w:rsidRPr="005138D8">
        <w:rPr>
          <w:rFonts w:cs="Times New Roman"/>
          <w:noProof/>
          <w:szCs w:val="24"/>
        </w:rPr>
        <w:t>, Oxford University Press, Oxford, 2001.</w:t>
      </w:r>
    </w:p>
    <w:p w14:paraId="72AC0EFA"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51</w:t>
      </w:r>
      <w:r w:rsidRPr="005138D8">
        <w:rPr>
          <w:rFonts w:cs="Times New Roman"/>
          <w:noProof/>
          <w:szCs w:val="24"/>
        </w:rPr>
        <w:tab/>
        <w:t xml:space="preserve">U.S. Geological Survey, </w:t>
      </w:r>
      <w:r w:rsidRPr="005138D8">
        <w:rPr>
          <w:rFonts w:cs="Times New Roman"/>
          <w:i/>
          <w:iCs/>
          <w:noProof/>
          <w:szCs w:val="24"/>
        </w:rPr>
        <w:t>Mineral Commodities Summaries 2017</w:t>
      </w:r>
      <w:r w:rsidRPr="005138D8">
        <w:rPr>
          <w:rFonts w:cs="Times New Roman"/>
          <w:noProof/>
          <w:szCs w:val="24"/>
        </w:rPr>
        <w:t>, Reston, Virginia, 2017.</w:t>
      </w:r>
    </w:p>
    <w:p w14:paraId="4DC782C2"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52</w:t>
      </w:r>
      <w:r w:rsidRPr="005138D8">
        <w:rPr>
          <w:rFonts w:cs="Times New Roman"/>
          <w:noProof/>
          <w:szCs w:val="24"/>
        </w:rPr>
        <w:tab/>
        <w:t xml:space="preserve">O. Jolliet, M. Margni, R. Charles, S. Humbert, J. Payet, G. Rebitzer and R. Rosenbaum, </w:t>
      </w:r>
      <w:r w:rsidRPr="005138D8">
        <w:rPr>
          <w:rFonts w:cs="Times New Roman"/>
          <w:i/>
          <w:iCs/>
          <w:noProof/>
          <w:szCs w:val="24"/>
        </w:rPr>
        <w:t>Int. J. Life Cycle Assess.</w:t>
      </w:r>
      <w:r w:rsidRPr="005138D8">
        <w:rPr>
          <w:rFonts w:cs="Times New Roman"/>
          <w:noProof/>
          <w:szCs w:val="24"/>
        </w:rPr>
        <w:t xml:space="preserve">, 2003, </w:t>
      </w:r>
      <w:r w:rsidRPr="005138D8">
        <w:rPr>
          <w:rFonts w:cs="Times New Roman"/>
          <w:b/>
          <w:bCs/>
          <w:noProof/>
          <w:szCs w:val="24"/>
        </w:rPr>
        <w:t>8</w:t>
      </w:r>
      <w:r w:rsidRPr="005138D8">
        <w:rPr>
          <w:rFonts w:cs="Times New Roman"/>
          <w:noProof/>
          <w:szCs w:val="24"/>
        </w:rPr>
        <w:t>, 324–330.</w:t>
      </w:r>
    </w:p>
    <w:p w14:paraId="79F022B7"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53</w:t>
      </w:r>
      <w:r w:rsidRPr="005138D8">
        <w:rPr>
          <w:rFonts w:cs="Times New Roman"/>
          <w:noProof/>
          <w:szCs w:val="24"/>
        </w:rPr>
        <w:tab/>
        <w:t xml:space="preserve">R. Frischknecht, N. Jungbluth, H.-J. Althaus, G. Doka, R. Dones, T. Heck, S. Hellweg, R. Hischier, T. Nemecek, G. Rebitzer and M. Spielmann, </w:t>
      </w:r>
      <w:r w:rsidRPr="005138D8">
        <w:rPr>
          <w:rFonts w:cs="Times New Roman"/>
          <w:i/>
          <w:iCs/>
          <w:noProof/>
          <w:szCs w:val="24"/>
        </w:rPr>
        <w:t>Int. J. Life Cycle Assess.</w:t>
      </w:r>
      <w:r w:rsidRPr="005138D8">
        <w:rPr>
          <w:rFonts w:cs="Times New Roman"/>
          <w:noProof/>
          <w:szCs w:val="24"/>
        </w:rPr>
        <w:t xml:space="preserve">, 2004, </w:t>
      </w:r>
      <w:r w:rsidRPr="005138D8">
        <w:rPr>
          <w:rFonts w:cs="Times New Roman"/>
          <w:b/>
          <w:bCs/>
          <w:noProof/>
          <w:szCs w:val="24"/>
        </w:rPr>
        <w:t>10</w:t>
      </w:r>
      <w:r w:rsidRPr="005138D8">
        <w:rPr>
          <w:rFonts w:cs="Times New Roman"/>
          <w:noProof/>
          <w:szCs w:val="24"/>
        </w:rPr>
        <w:t>, 3–9.</w:t>
      </w:r>
    </w:p>
    <w:p w14:paraId="0C70C94F"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54</w:t>
      </w:r>
      <w:r w:rsidRPr="005138D8">
        <w:rPr>
          <w:rFonts w:cs="Times New Roman"/>
          <w:noProof/>
          <w:szCs w:val="24"/>
        </w:rPr>
        <w:tab/>
        <w:t xml:space="preserve">R. K. Rosenbaum, T. M. Bachmann, L. S. Gold, M. A. J. Huijbregts, O. Jolliet, R. Juraske, A. Koehler, H. F. Larsen, M. MacLeod, M. Margni, T. E. McKone, J. Payet, M. Schuhmacher, D. van de Meent and M. Z. Hauschild, </w:t>
      </w:r>
      <w:r w:rsidRPr="005138D8">
        <w:rPr>
          <w:rFonts w:cs="Times New Roman"/>
          <w:i/>
          <w:iCs/>
          <w:noProof/>
          <w:szCs w:val="24"/>
        </w:rPr>
        <w:t>Int. J. Life Cycle Assess.</w:t>
      </w:r>
      <w:r w:rsidRPr="005138D8">
        <w:rPr>
          <w:rFonts w:cs="Times New Roman"/>
          <w:noProof/>
          <w:szCs w:val="24"/>
        </w:rPr>
        <w:t xml:space="preserve">, 2008, </w:t>
      </w:r>
      <w:r w:rsidRPr="005138D8">
        <w:rPr>
          <w:rFonts w:cs="Times New Roman"/>
          <w:b/>
          <w:bCs/>
          <w:noProof/>
          <w:szCs w:val="24"/>
        </w:rPr>
        <w:t>13</w:t>
      </w:r>
      <w:r w:rsidRPr="005138D8">
        <w:rPr>
          <w:rFonts w:cs="Times New Roman"/>
          <w:noProof/>
          <w:szCs w:val="24"/>
        </w:rPr>
        <w:t>, 532–546.</w:t>
      </w:r>
    </w:p>
    <w:p w14:paraId="5DE794DE"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55</w:t>
      </w:r>
      <w:r w:rsidRPr="005138D8">
        <w:rPr>
          <w:rFonts w:cs="Times New Roman"/>
          <w:noProof/>
          <w:szCs w:val="24"/>
        </w:rPr>
        <w:tab/>
        <w:t>Pré Sustainability, 2016.</w:t>
      </w:r>
    </w:p>
    <w:p w14:paraId="1846F932"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56</w:t>
      </w:r>
      <w:r w:rsidRPr="005138D8">
        <w:rPr>
          <w:rFonts w:cs="Times New Roman"/>
          <w:noProof/>
          <w:szCs w:val="24"/>
        </w:rPr>
        <w:tab/>
        <w:t xml:space="preserve">M. A. Green, Y. Hishikawa, E. D. Dunlop, D. H. Levi, J. Hohl-Ebinger and A. W. Y. Ho-Baillie, </w:t>
      </w:r>
      <w:r w:rsidRPr="005138D8">
        <w:rPr>
          <w:rFonts w:cs="Times New Roman"/>
          <w:i/>
          <w:iCs/>
          <w:noProof/>
          <w:szCs w:val="24"/>
        </w:rPr>
        <w:t>Prog. Photovoltaics Res. Appl.</w:t>
      </w:r>
      <w:r w:rsidRPr="005138D8">
        <w:rPr>
          <w:rFonts w:cs="Times New Roman"/>
          <w:noProof/>
          <w:szCs w:val="24"/>
        </w:rPr>
        <w:t xml:space="preserve">, 2018, </w:t>
      </w:r>
      <w:r w:rsidRPr="005138D8">
        <w:rPr>
          <w:rFonts w:cs="Times New Roman"/>
          <w:b/>
          <w:bCs/>
          <w:noProof/>
          <w:szCs w:val="24"/>
        </w:rPr>
        <w:t>26</w:t>
      </w:r>
      <w:r w:rsidRPr="005138D8">
        <w:rPr>
          <w:rFonts w:cs="Times New Roman"/>
          <w:noProof/>
          <w:szCs w:val="24"/>
        </w:rPr>
        <w:t>, 3–12.</w:t>
      </w:r>
    </w:p>
    <w:p w14:paraId="75D29FE5"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57</w:t>
      </w:r>
      <w:r w:rsidRPr="005138D8">
        <w:rPr>
          <w:rFonts w:cs="Times New Roman"/>
          <w:noProof/>
          <w:szCs w:val="24"/>
        </w:rPr>
        <w:tab/>
        <w:t>National Renewable Energy Laboratory, 2016.</w:t>
      </w:r>
    </w:p>
    <w:p w14:paraId="2C4CFEE4" w14:textId="77777777" w:rsidR="005138D8" w:rsidRPr="005138D8" w:rsidRDefault="005138D8" w:rsidP="005138D8">
      <w:pPr>
        <w:widowControl w:val="0"/>
        <w:autoSpaceDE w:val="0"/>
        <w:autoSpaceDN w:val="0"/>
        <w:adjustRightInd w:val="0"/>
        <w:spacing w:line="240" w:lineRule="auto"/>
        <w:ind w:left="640" w:hanging="640"/>
        <w:rPr>
          <w:rFonts w:cs="Times New Roman"/>
          <w:noProof/>
          <w:szCs w:val="24"/>
        </w:rPr>
      </w:pPr>
      <w:r w:rsidRPr="005138D8">
        <w:rPr>
          <w:rFonts w:cs="Times New Roman"/>
          <w:noProof/>
          <w:szCs w:val="24"/>
        </w:rPr>
        <w:t>58</w:t>
      </w:r>
      <w:r w:rsidRPr="005138D8">
        <w:rPr>
          <w:rFonts w:cs="Times New Roman"/>
          <w:noProof/>
          <w:szCs w:val="24"/>
        </w:rPr>
        <w:tab/>
        <w:t xml:space="preserve">X. Zhang, X. Ren, B. Liu, R. Munir, X. Zhu, D. Yang, J. Li, Y. Liu, D.-M. Smilgies, R. Li, Z. Yang, T. Niu, X. Wang, A. Amassian, K. Zhao and S. (Frank) Liu, </w:t>
      </w:r>
      <w:r w:rsidRPr="005138D8">
        <w:rPr>
          <w:rFonts w:cs="Times New Roman"/>
          <w:i/>
          <w:iCs/>
          <w:noProof/>
          <w:szCs w:val="24"/>
        </w:rPr>
        <w:t>Energy Environ. Sci.</w:t>
      </w:r>
      <w:r w:rsidRPr="005138D8">
        <w:rPr>
          <w:rFonts w:cs="Times New Roman"/>
          <w:noProof/>
          <w:szCs w:val="24"/>
        </w:rPr>
        <w:t xml:space="preserve">, 2017, </w:t>
      </w:r>
      <w:r w:rsidRPr="005138D8">
        <w:rPr>
          <w:rFonts w:cs="Times New Roman"/>
          <w:b/>
          <w:bCs/>
          <w:noProof/>
          <w:szCs w:val="24"/>
        </w:rPr>
        <w:t>10</w:t>
      </w:r>
      <w:r w:rsidRPr="005138D8">
        <w:rPr>
          <w:rFonts w:cs="Times New Roman"/>
          <w:noProof/>
          <w:szCs w:val="24"/>
        </w:rPr>
        <w:t>, 2095–2102.</w:t>
      </w:r>
    </w:p>
    <w:p w14:paraId="20DB3D7B" w14:textId="77777777" w:rsidR="005138D8" w:rsidRPr="005138D8" w:rsidRDefault="005138D8" w:rsidP="005138D8">
      <w:pPr>
        <w:widowControl w:val="0"/>
        <w:autoSpaceDE w:val="0"/>
        <w:autoSpaceDN w:val="0"/>
        <w:adjustRightInd w:val="0"/>
        <w:spacing w:line="240" w:lineRule="auto"/>
        <w:ind w:left="640" w:hanging="640"/>
        <w:rPr>
          <w:noProof/>
        </w:rPr>
      </w:pPr>
      <w:r w:rsidRPr="005138D8">
        <w:rPr>
          <w:rFonts w:cs="Times New Roman"/>
          <w:noProof/>
          <w:szCs w:val="24"/>
        </w:rPr>
        <w:t>59</w:t>
      </w:r>
      <w:r w:rsidRPr="005138D8">
        <w:rPr>
          <w:rFonts w:cs="Times New Roman"/>
          <w:noProof/>
          <w:szCs w:val="24"/>
        </w:rPr>
        <w:tab/>
        <w:t xml:space="preserve">C. Roldán-Carmona, P. Gratia, I. Zimmermann, G. Grancini, P. Gao, M. Graetzel and M. K. Nazeeruddin, </w:t>
      </w:r>
      <w:r w:rsidRPr="005138D8">
        <w:rPr>
          <w:rFonts w:cs="Times New Roman"/>
          <w:i/>
          <w:iCs/>
          <w:noProof/>
          <w:szCs w:val="24"/>
        </w:rPr>
        <w:t>Energy Environ. Sci.</w:t>
      </w:r>
      <w:r w:rsidRPr="005138D8">
        <w:rPr>
          <w:rFonts w:cs="Times New Roman"/>
          <w:noProof/>
          <w:szCs w:val="24"/>
        </w:rPr>
        <w:t xml:space="preserve">, 2015, </w:t>
      </w:r>
      <w:r w:rsidRPr="005138D8">
        <w:rPr>
          <w:rFonts w:cs="Times New Roman"/>
          <w:b/>
          <w:bCs/>
          <w:noProof/>
          <w:szCs w:val="24"/>
        </w:rPr>
        <w:t>8</w:t>
      </w:r>
      <w:r w:rsidRPr="005138D8">
        <w:rPr>
          <w:rFonts w:cs="Times New Roman"/>
          <w:noProof/>
          <w:szCs w:val="24"/>
        </w:rPr>
        <w:t>, 3550–3556.</w:t>
      </w:r>
    </w:p>
    <w:p w14:paraId="69831CF3" w14:textId="069A5091" w:rsidR="0049617A" w:rsidRPr="001B5503" w:rsidRDefault="0099656C" w:rsidP="005138D8">
      <w:pPr>
        <w:widowControl w:val="0"/>
        <w:autoSpaceDE w:val="0"/>
        <w:autoSpaceDN w:val="0"/>
        <w:adjustRightInd w:val="0"/>
        <w:spacing w:line="240" w:lineRule="auto"/>
        <w:ind w:left="640" w:hanging="640"/>
      </w:pPr>
      <w:r w:rsidRPr="001B5503">
        <w:fldChar w:fldCharType="end"/>
      </w:r>
    </w:p>
    <w:sectPr w:rsidR="0049617A" w:rsidRPr="001B5503" w:rsidSect="004529A9">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9529F" w14:textId="77777777" w:rsidR="00434FFA" w:rsidRDefault="00434FFA" w:rsidP="00AE5DE8">
      <w:pPr>
        <w:spacing w:after="0" w:line="240" w:lineRule="auto"/>
      </w:pPr>
      <w:r>
        <w:separator/>
      </w:r>
    </w:p>
  </w:endnote>
  <w:endnote w:type="continuationSeparator" w:id="0">
    <w:p w14:paraId="299FD400" w14:textId="77777777" w:rsidR="00434FFA" w:rsidRDefault="00434FFA" w:rsidP="00AE5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AdvOTb83ee1dd.B">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93750"/>
      <w:docPartObj>
        <w:docPartGallery w:val="Page Numbers (Bottom of Page)"/>
        <w:docPartUnique/>
      </w:docPartObj>
    </w:sdtPr>
    <w:sdtEndPr/>
    <w:sdtContent>
      <w:p w14:paraId="30AA04C7" w14:textId="04B6D92A" w:rsidR="004C2ECE" w:rsidRDefault="004C2ECE" w:rsidP="00F96B77">
        <w:pPr>
          <w:pStyle w:val="Piedepgina"/>
          <w:jc w:val="right"/>
        </w:pPr>
        <w:r>
          <w:fldChar w:fldCharType="begin"/>
        </w:r>
        <w:r>
          <w:instrText xml:space="preserve"> PAGE   \* MERGEFORMAT </w:instrText>
        </w:r>
        <w:r>
          <w:fldChar w:fldCharType="separate"/>
        </w:r>
        <w:r w:rsidR="00D40865">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FF959" w14:textId="77777777" w:rsidR="00434FFA" w:rsidRDefault="00434FFA" w:rsidP="00AE5DE8">
      <w:pPr>
        <w:spacing w:after="0" w:line="240" w:lineRule="auto"/>
      </w:pPr>
      <w:r>
        <w:separator/>
      </w:r>
    </w:p>
  </w:footnote>
  <w:footnote w:type="continuationSeparator" w:id="0">
    <w:p w14:paraId="43D3D635" w14:textId="77777777" w:rsidR="00434FFA" w:rsidRDefault="00434FFA" w:rsidP="00AE5DE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CB67228"/>
    <w:lvl w:ilvl="0">
      <w:start w:val="1"/>
      <w:numFmt w:val="decimal"/>
      <w:lvlText w:val="%1."/>
      <w:lvlJc w:val="left"/>
      <w:pPr>
        <w:tabs>
          <w:tab w:val="num" w:pos="1492"/>
        </w:tabs>
        <w:ind w:left="1492" w:hanging="360"/>
      </w:pPr>
    </w:lvl>
  </w:abstractNum>
  <w:abstractNum w:abstractNumId="1">
    <w:nsid w:val="FFFFFF7D"/>
    <w:multiLevelType w:val="singleLevel"/>
    <w:tmpl w:val="85ACA052"/>
    <w:lvl w:ilvl="0">
      <w:start w:val="1"/>
      <w:numFmt w:val="decimal"/>
      <w:lvlText w:val="%1."/>
      <w:lvlJc w:val="left"/>
      <w:pPr>
        <w:tabs>
          <w:tab w:val="num" w:pos="1209"/>
        </w:tabs>
        <w:ind w:left="1209" w:hanging="360"/>
      </w:pPr>
    </w:lvl>
  </w:abstractNum>
  <w:abstractNum w:abstractNumId="2">
    <w:nsid w:val="FFFFFF7E"/>
    <w:multiLevelType w:val="singleLevel"/>
    <w:tmpl w:val="065677E8"/>
    <w:lvl w:ilvl="0">
      <w:start w:val="1"/>
      <w:numFmt w:val="decimal"/>
      <w:lvlText w:val="%1."/>
      <w:lvlJc w:val="left"/>
      <w:pPr>
        <w:tabs>
          <w:tab w:val="num" w:pos="926"/>
        </w:tabs>
        <w:ind w:left="926" w:hanging="360"/>
      </w:pPr>
    </w:lvl>
  </w:abstractNum>
  <w:abstractNum w:abstractNumId="3">
    <w:nsid w:val="FFFFFF7F"/>
    <w:multiLevelType w:val="singleLevel"/>
    <w:tmpl w:val="18C833FE"/>
    <w:lvl w:ilvl="0">
      <w:start w:val="1"/>
      <w:numFmt w:val="decimal"/>
      <w:lvlText w:val="%1."/>
      <w:lvlJc w:val="left"/>
      <w:pPr>
        <w:tabs>
          <w:tab w:val="num" w:pos="643"/>
        </w:tabs>
        <w:ind w:left="643" w:hanging="360"/>
      </w:pPr>
    </w:lvl>
  </w:abstractNum>
  <w:abstractNum w:abstractNumId="4">
    <w:nsid w:val="FFFFFF80"/>
    <w:multiLevelType w:val="singleLevel"/>
    <w:tmpl w:val="81481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D6EA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CEBA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9890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4443E4"/>
    <w:lvl w:ilvl="0">
      <w:start w:val="1"/>
      <w:numFmt w:val="decimal"/>
      <w:lvlText w:val="%1."/>
      <w:lvlJc w:val="left"/>
      <w:pPr>
        <w:tabs>
          <w:tab w:val="num" w:pos="360"/>
        </w:tabs>
        <w:ind w:left="360" w:hanging="360"/>
      </w:pPr>
    </w:lvl>
  </w:abstractNum>
  <w:abstractNum w:abstractNumId="9">
    <w:nsid w:val="FFFFFF89"/>
    <w:multiLevelType w:val="singleLevel"/>
    <w:tmpl w:val="235E1078"/>
    <w:lvl w:ilvl="0">
      <w:start w:val="1"/>
      <w:numFmt w:val="bullet"/>
      <w:lvlText w:val=""/>
      <w:lvlJc w:val="left"/>
      <w:pPr>
        <w:tabs>
          <w:tab w:val="num" w:pos="360"/>
        </w:tabs>
        <w:ind w:left="360" w:hanging="360"/>
      </w:pPr>
      <w:rPr>
        <w:rFonts w:ascii="Symbol" w:hAnsi="Symbol" w:hint="default"/>
      </w:rPr>
    </w:lvl>
  </w:abstractNum>
  <w:abstractNum w:abstractNumId="10">
    <w:nsid w:val="1E5B36EC"/>
    <w:multiLevelType w:val="hybridMultilevel"/>
    <w:tmpl w:val="27682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4042A9"/>
    <w:multiLevelType w:val="multilevel"/>
    <w:tmpl w:val="9E440C8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5E4419E7"/>
    <w:multiLevelType w:val="hybridMultilevel"/>
    <w:tmpl w:val="BE92866C"/>
    <w:lvl w:ilvl="0" w:tplc="C828570C">
      <w:start w:val="1"/>
      <w:numFmt w:val="bullet"/>
      <w:pStyle w:val="Prrafodelista"/>
      <w:lvlText w:val=""/>
      <w:lvlJc w:val="left"/>
      <w:pPr>
        <w:ind w:left="71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826399"/>
    <w:multiLevelType w:val="hybridMultilevel"/>
    <w:tmpl w:val="879CD5B2"/>
    <w:lvl w:ilvl="0" w:tplc="39C0FF4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4A"/>
    <w:rsid w:val="00000422"/>
    <w:rsid w:val="00001010"/>
    <w:rsid w:val="00001A85"/>
    <w:rsid w:val="00001D78"/>
    <w:rsid w:val="0000280E"/>
    <w:rsid w:val="00003879"/>
    <w:rsid w:val="00003912"/>
    <w:rsid w:val="00003F49"/>
    <w:rsid w:val="00004C3F"/>
    <w:rsid w:val="00005B3F"/>
    <w:rsid w:val="00006969"/>
    <w:rsid w:val="0000712E"/>
    <w:rsid w:val="000107D0"/>
    <w:rsid w:val="0001188E"/>
    <w:rsid w:val="00011F5F"/>
    <w:rsid w:val="000120CE"/>
    <w:rsid w:val="00013B73"/>
    <w:rsid w:val="00013C6C"/>
    <w:rsid w:val="00014080"/>
    <w:rsid w:val="00015BA7"/>
    <w:rsid w:val="000167A0"/>
    <w:rsid w:val="00021398"/>
    <w:rsid w:val="00022D00"/>
    <w:rsid w:val="0002453F"/>
    <w:rsid w:val="000246E2"/>
    <w:rsid w:val="000249A9"/>
    <w:rsid w:val="00024E18"/>
    <w:rsid w:val="00024F8B"/>
    <w:rsid w:val="000255BF"/>
    <w:rsid w:val="00027F1A"/>
    <w:rsid w:val="00030589"/>
    <w:rsid w:val="0003058E"/>
    <w:rsid w:val="0003135B"/>
    <w:rsid w:val="000331F5"/>
    <w:rsid w:val="000352F5"/>
    <w:rsid w:val="000402D6"/>
    <w:rsid w:val="0004041A"/>
    <w:rsid w:val="000405F2"/>
    <w:rsid w:val="00042010"/>
    <w:rsid w:val="000422DA"/>
    <w:rsid w:val="000423F4"/>
    <w:rsid w:val="00042AEC"/>
    <w:rsid w:val="000430AC"/>
    <w:rsid w:val="0004315A"/>
    <w:rsid w:val="00043D2C"/>
    <w:rsid w:val="00044488"/>
    <w:rsid w:val="00047686"/>
    <w:rsid w:val="00050072"/>
    <w:rsid w:val="00052CD7"/>
    <w:rsid w:val="00054E7D"/>
    <w:rsid w:val="00054F27"/>
    <w:rsid w:val="00056E41"/>
    <w:rsid w:val="000617CB"/>
    <w:rsid w:val="000624D2"/>
    <w:rsid w:val="00063077"/>
    <w:rsid w:val="0006356E"/>
    <w:rsid w:val="000644E4"/>
    <w:rsid w:val="000652A3"/>
    <w:rsid w:val="000655DC"/>
    <w:rsid w:val="00065D6E"/>
    <w:rsid w:val="000664F5"/>
    <w:rsid w:val="00066974"/>
    <w:rsid w:val="000714C3"/>
    <w:rsid w:val="00071F79"/>
    <w:rsid w:val="00074040"/>
    <w:rsid w:val="000741A7"/>
    <w:rsid w:val="00074B83"/>
    <w:rsid w:val="00074B93"/>
    <w:rsid w:val="00075751"/>
    <w:rsid w:val="00076298"/>
    <w:rsid w:val="00076692"/>
    <w:rsid w:val="00077E08"/>
    <w:rsid w:val="00080266"/>
    <w:rsid w:val="00081A60"/>
    <w:rsid w:val="00081F28"/>
    <w:rsid w:val="00082A57"/>
    <w:rsid w:val="00082B11"/>
    <w:rsid w:val="00086CC7"/>
    <w:rsid w:val="00087658"/>
    <w:rsid w:val="000905C7"/>
    <w:rsid w:val="0009096F"/>
    <w:rsid w:val="0009128B"/>
    <w:rsid w:val="00092217"/>
    <w:rsid w:val="000927FE"/>
    <w:rsid w:val="000929BA"/>
    <w:rsid w:val="00093D60"/>
    <w:rsid w:val="00094DEB"/>
    <w:rsid w:val="00094EDA"/>
    <w:rsid w:val="0009528D"/>
    <w:rsid w:val="00096CF3"/>
    <w:rsid w:val="00097EA9"/>
    <w:rsid w:val="000A00C2"/>
    <w:rsid w:val="000A0116"/>
    <w:rsid w:val="000A09A3"/>
    <w:rsid w:val="000A09FF"/>
    <w:rsid w:val="000A0D99"/>
    <w:rsid w:val="000A0F11"/>
    <w:rsid w:val="000A10E8"/>
    <w:rsid w:val="000A22B4"/>
    <w:rsid w:val="000A2C9A"/>
    <w:rsid w:val="000A332D"/>
    <w:rsid w:val="000A3B25"/>
    <w:rsid w:val="000A3D32"/>
    <w:rsid w:val="000A56F5"/>
    <w:rsid w:val="000A5F8D"/>
    <w:rsid w:val="000A6B2A"/>
    <w:rsid w:val="000B008B"/>
    <w:rsid w:val="000B2341"/>
    <w:rsid w:val="000B2648"/>
    <w:rsid w:val="000B296C"/>
    <w:rsid w:val="000B3F04"/>
    <w:rsid w:val="000B4699"/>
    <w:rsid w:val="000B5A3E"/>
    <w:rsid w:val="000B69A5"/>
    <w:rsid w:val="000B6B79"/>
    <w:rsid w:val="000B6CAE"/>
    <w:rsid w:val="000B7010"/>
    <w:rsid w:val="000B7AD1"/>
    <w:rsid w:val="000C0AE7"/>
    <w:rsid w:val="000C1677"/>
    <w:rsid w:val="000C56B4"/>
    <w:rsid w:val="000C6D87"/>
    <w:rsid w:val="000D1056"/>
    <w:rsid w:val="000D1908"/>
    <w:rsid w:val="000D1D00"/>
    <w:rsid w:val="000D1E25"/>
    <w:rsid w:val="000D3056"/>
    <w:rsid w:val="000D4563"/>
    <w:rsid w:val="000D5039"/>
    <w:rsid w:val="000D5058"/>
    <w:rsid w:val="000D6812"/>
    <w:rsid w:val="000E14E3"/>
    <w:rsid w:val="000E2A16"/>
    <w:rsid w:val="000E2DC8"/>
    <w:rsid w:val="000E33D3"/>
    <w:rsid w:val="000E6B5A"/>
    <w:rsid w:val="000E70A2"/>
    <w:rsid w:val="000F05DF"/>
    <w:rsid w:val="000F0EDA"/>
    <w:rsid w:val="000F1301"/>
    <w:rsid w:val="000F2AE6"/>
    <w:rsid w:val="000F33DD"/>
    <w:rsid w:val="000F3C1E"/>
    <w:rsid w:val="000F4C6B"/>
    <w:rsid w:val="000F52A6"/>
    <w:rsid w:val="000F5BB5"/>
    <w:rsid w:val="000F5D9C"/>
    <w:rsid w:val="00100230"/>
    <w:rsid w:val="001022F4"/>
    <w:rsid w:val="00102D4E"/>
    <w:rsid w:val="00102F13"/>
    <w:rsid w:val="0010344D"/>
    <w:rsid w:val="00103CCB"/>
    <w:rsid w:val="001052BE"/>
    <w:rsid w:val="00105A07"/>
    <w:rsid w:val="00106309"/>
    <w:rsid w:val="001066E6"/>
    <w:rsid w:val="00106EF7"/>
    <w:rsid w:val="00107857"/>
    <w:rsid w:val="00110CB1"/>
    <w:rsid w:val="00110EEB"/>
    <w:rsid w:val="00110F2B"/>
    <w:rsid w:val="00110F5C"/>
    <w:rsid w:val="0011189B"/>
    <w:rsid w:val="00113285"/>
    <w:rsid w:val="00114B86"/>
    <w:rsid w:val="00115093"/>
    <w:rsid w:val="001165F7"/>
    <w:rsid w:val="00117113"/>
    <w:rsid w:val="00117A64"/>
    <w:rsid w:val="001200E6"/>
    <w:rsid w:val="0012119B"/>
    <w:rsid w:val="00121EA0"/>
    <w:rsid w:val="00122C3C"/>
    <w:rsid w:val="001237FD"/>
    <w:rsid w:val="00124672"/>
    <w:rsid w:val="001257A9"/>
    <w:rsid w:val="00125B35"/>
    <w:rsid w:val="00125F5F"/>
    <w:rsid w:val="00126C60"/>
    <w:rsid w:val="0013090C"/>
    <w:rsid w:val="00132B4E"/>
    <w:rsid w:val="0013374E"/>
    <w:rsid w:val="00134F16"/>
    <w:rsid w:val="00135BA2"/>
    <w:rsid w:val="0013632C"/>
    <w:rsid w:val="00140860"/>
    <w:rsid w:val="00141271"/>
    <w:rsid w:val="001412CC"/>
    <w:rsid w:val="00142C10"/>
    <w:rsid w:val="00142E66"/>
    <w:rsid w:val="00143091"/>
    <w:rsid w:val="00143B4D"/>
    <w:rsid w:val="001502AD"/>
    <w:rsid w:val="001516AB"/>
    <w:rsid w:val="00152672"/>
    <w:rsid w:val="0015287F"/>
    <w:rsid w:val="00153C4A"/>
    <w:rsid w:val="00153CB2"/>
    <w:rsid w:val="00153F35"/>
    <w:rsid w:val="00154ED2"/>
    <w:rsid w:val="00156353"/>
    <w:rsid w:val="00156639"/>
    <w:rsid w:val="00156C6B"/>
    <w:rsid w:val="00156CB7"/>
    <w:rsid w:val="00156E04"/>
    <w:rsid w:val="0016342D"/>
    <w:rsid w:val="0016394B"/>
    <w:rsid w:val="00165AE3"/>
    <w:rsid w:val="0016638F"/>
    <w:rsid w:val="001668E8"/>
    <w:rsid w:val="00166C77"/>
    <w:rsid w:val="00167348"/>
    <w:rsid w:val="001728D4"/>
    <w:rsid w:val="00174555"/>
    <w:rsid w:val="001750EF"/>
    <w:rsid w:val="00176505"/>
    <w:rsid w:val="00176B79"/>
    <w:rsid w:val="00177F30"/>
    <w:rsid w:val="00182B14"/>
    <w:rsid w:val="00182C58"/>
    <w:rsid w:val="0018430F"/>
    <w:rsid w:val="001858B3"/>
    <w:rsid w:val="0018781C"/>
    <w:rsid w:val="00187C44"/>
    <w:rsid w:val="001917FB"/>
    <w:rsid w:val="0019364A"/>
    <w:rsid w:val="00193690"/>
    <w:rsid w:val="00195E9C"/>
    <w:rsid w:val="00196D72"/>
    <w:rsid w:val="001A0F29"/>
    <w:rsid w:val="001A157D"/>
    <w:rsid w:val="001A1B6F"/>
    <w:rsid w:val="001A207F"/>
    <w:rsid w:val="001A21C8"/>
    <w:rsid w:val="001A26F1"/>
    <w:rsid w:val="001A336A"/>
    <w:rsid w:val="001A382F"/>
    <w:rsid w:val="001A3A31"/>
    <w:rsid w:val="001A3E19"/>
    <w:rsid w:val="001A4942"/>
    <w:rsid w:val="001A7731"/>
    <w:rsid w:val="001A7B3D"/>
    <w:rsid w:val="001B02DE"/>
    <w:rsid w:val="001B04CC"/>
    <w:rsid w:val="001B15CB"/>
    <w:rsid w:val="001B1692"/>
    <w:rsid w:val="001B4281"/>
    <w:rsid w:val="001B5503"/>
    <w:rsid w:val="001B781A"/>
    <w:rsid w:val="001B7FB9"/>
    <w:rsid w:val="001C0B9A"/>
    <w:rsid w:val="001C0D59"/>
    <w:rsid w:val="001C2942"/>
    <w:rsid w:val="001C3289"/>
    <w:rsid w:val="001D0E61"/>
    <w:rsid w:val="001D16D9"/>
    <w:rsid w:val="001D47CE"/>
    <w:rsid w:val="001D570E"/>
    <w:rsid w:val="001D67E1"/>
    <w:rsid w:val="001D6E89"/>
    <w:rsid w:val="001D7705"/>
    <w:rsid w:val="001E1DBA"/>
    <w:rsid w:val="001E355A"/>
    <w:rsid w:val="001E36B6"/>
    <w:rsid w:val="001E39BA"/>
    <w:rsid w:val="001E3EF1"/>
    <w:rsid w:val="001E51E0"/>
    <w:rsid w:val="001F2A1B"/>
    <w:rsid w:val="001F2C0E"/>
    <w:rsid w:val="001F3D43"/>
    <w:rsid w:val="001F67C3"/>
    <w:rsid w:val="001F7351"/>
    <w:rsid w:val="001F7FA0"/>
    <w:rsid w:val="002003F2"/>
    <w:rsid w:val="00200CD1"/>
    <w:rsid w:val="002017A9"/>
    <w:rsid w:val="002023DD"/>
    <w:rsid w:val="0020319E"/>
    <w:rsid w:val="002038A9"/>
    <w:rsid w:val="00203D36"/>
    <w:rsid w:val="00204D7E"/>
    <w:rsid w:val="00206E23"/>
    <w:rsid w:val="0020740C"/>
    <w:rsid w:val="0020768A"/>
    <w:rsid w:val="00207BFF"/>
    <w:rsid w:val="002118D4"/>
    <w:rsid w:val="00211C03"/>
    <w:rsid w:val="00211E27"/>
    <w:rsid w:val="00212419"/>
    <w:rsid w:val="002127AE"/>
    <w:rsid w:val="00212958"/>
    <w:rsid w:val="00212D28"/>
    <w:rsid w:val="00213B6A"/>
    <w:rsid w:val="00214C13"/>
    <w:rsid w:val="002150C7"/>
    <w:rsid w:val="002150D0"/>
    <w:rsid w:val="0021770A"/>
    <w:rsid w:val="00220041"/>
    <w:rsid w:val="002207E2"/>
    <w:rsid w:val="002208BB"/>
    <w:rsid w:val="00220F37"/>
    <w:rsid w:val="0022112D"/>
    <w:rsid w:val="00221D83"/>
    <w:rsid w:val="00222B4C"/>
    <w:rsid w:val="00222F0D"/>
    <w:rsid w:val="0022439B"/>
    <w:rsid w:val="002248CB"/>
    <w:rsid w:val="0022593E"/>
    <w:rsid w:val="00227988"/>
    <w:rsid w:val="00230D77"/>
    <w:rsid w:val="00233B6B"/>
    <w:rsid w:val="00233D94"/>
    <w:rsid w:val="002351E0"/>
    <w:rsid w:val="00235537"/>
    <w:rsid w:val="00235B51"/>
    <w:rsid w:val="002377DE"/>
    <w:rsid w:val="00237AE5"/>
    <w:rsid w:val="00237B0C"/>
    <w:rsid w:val="00241116"/>
    <w:rsid w:val="002421C1"/>
    <w:rsid w:val="0024335C"/>
    <w:rsid w:val="002444E2"/>
    <w:rsid w:val="0024557D"/>
    <w:rsid w:val="00246EEE"/>
    <w:rsid w:val="00247757"/>
    <w:rsid w:val="00247DD1"/>
    <w:rsid w:val="00250CDF"/>
    <w:rsid w:val="00251493"/>
    <w:rsid w:val="00251965"/>
    <w:rsid w:val="00251A6E"/>
    <w:rsid w:val="00251B07"/>
    <w:rsid w:val="0025456A"/>
    <w:rsid w:val="0025497B"/>
    <w:rsid w:val="002557B6"/>
    <w:rsid w:val="002567A1"/>
    <w:rsid w:val="00260494"/>
    <w:rsid w:val="002622A6"/>
    <w:rsid w:val="00263558"/>
    <w:rsid w:val="00263885"/>
    <w:rsid w:val="00263E28"/>
    <w:rsid w:val="0026447B"/>
    <w:rsid w:val="00265CBF"/>
    <w:rsid w:val="00270445"/>
    <w:rsid w:val="00273CE6"/>
    <w:rsid w:val="002741DB"/>
    <w:rsid w:val="00276416"/>
    <w:rsid w:val="00280BA4"/>
    <w:rsid w:val="00281810"/>
    <w:rsid w:val="0028381B"/>
    <w:rsid w:val="002858E4"/>
    <w:rsid w:val="00287434"/>
    <w:rsid w:val="00287B73"/>
    <w:rsid w:val="00290854"/>
    <w:rsid w:val="0029104A"/>
    <w:rsid w:val="00291463"/>
    <w:rsid w:val="0029154F"/>
    <w:rsid w:val="002923AC"/>
    <w:rsid w:val="002923BA"/>
    <w:rsid w:val="0029241E"/>
    <w:rsid w:val="0029279E"/>
    <w:rsid w:val="00293371"/>
    <w:rsid w:val="00296BE8"/>
    <w:rsid w:val="00296DC3"/>
    <w:rsid w:val="00297CE1"/>
    <w:rsid w:val="002A1A7B"/>
    <w:rsid w:val="002A2127"/>
    <w:rsid w:val="002A2F5A"/>
    <w:rsid w:val="002A46C6"/>
    <w:rsid w:val="002A4C84"/>
    <w:rsid w:val="002A4E0B"/>
    <w:rsid w:val="002A59A1"/>
    <w:rsid w:val="002A6D57"/>
    <w:rsid w:val="002A6EA2"/>
    <w:rsid w:val="002A7715"/>
    <w:rsid w:val="002A7AB5"/>
    <w:rsid w:val="002B2018"/>
    <w:rsid w:val="002B257A"/>
    <w:rsid w:val="002B45D8"/>
    <w:rsid w:val="002B6F83"/>
    <w:rsid w:val="002B71B1"/>
    <w:rsid w:val="002B7419"/>
    <w:rsid w:val="002C0871"/>
    <w:rsid w:val="002C2565"/>
    <w:rsid w:val="002C31BB"/>
    <w:rsid w:val="002C47A0"/>
    <w:rsid w:val="002C63AD"/>
    <w:rsid w:val="002C6AD4"/>
    <w:rsid w:val="002C6C2B"/>
    <w:rsid w:val="002C7834"/>
    <w:rsid w:val="002C7AE5"/>
    <w:rsid w:val="002D0F55"/>
    <w:rsid w:val="002D26E0"/>
    <w:rsid w:val="002D290F"/>
    <w:rsid w:val="002D3278"/>
    <w:rsid w:val="002D3A8E"/>
    <w:rsid w:val="002D3E86"/>
    <w:rsid w:val="002D5DB2"/>
    <w:rsid w:val="002D5DF4"/>
    <w:rsid w:val="002D7D90"/>
    <w:rsid w:val="002E0CCA"/>
    <w:rsid w:val="002E2E33"/>
    <w:rsid w:val="002E3878"/>
    <w:rsid w:val="002E509B"/>
    <w:rsid w:val="002E6BC2"/>
    <w:rsid w:val="002E7038"/>
    <w:rsid w:val="002E7407"/>
    <w:rsid w:val="002F03B1"/>
    <w:rsid w:val="002F0A4E"/>
    <w:rsid w:val="002F0AC6"/>
    <w:rsid w:val="002F1987"/>
    <w:rsid w:val="002F22EB"/>
    <w:rsid w:val="002F2D52"/>
    <w:rsid w:val="002F45D6"/>
    <w:rsid w:val="002F4BFA"/>
    <w:rsid w:val="002F4DF6"/>
    <w:rsid w:val="002F4EB0"/>
    <w:rsid w:val="002F521D"/>
    <w:rsid w:val="002F6AA5"/>
    <w:rsid w:val="002F7DCB"/>
    <w:rsid w:val="003005CF"/>
    <w:rsid w:val="00300691"/>
    <w:rsid w:val="00300EC9"/>
    <w:rsid w:val="00301A6D"/>
    <w:rsid w:val="00302D36"/>
    <w:rsid w:val="0030457E"/>
    <w:rsid w:val="003057D5"/>
    <w:rsid w:val="003110FA"/>
    <w:rsid w:val="00311376"/>
    <w:rsid w:val="00311559"/>
    <w:rsid w:val="003117A6"/>
    <w:rsid w:val="003121E8"/>
    <w:rsid w:val="0031243F"/>
    <w:rsid w:val="003140B9"/>
    <w:rsid w:val="003164FB"/>
    <w:rsid w:val="00316B8B"/>
    <w:rsid w:val="003259DC"/>
    <w:rsid w:val="00327567"/>
    <w:rsid w:val="00330ED7"/>
    <w:rsid w:val="00331B53"/>
    <w:rsid w:val="00331FA1"/>
    <w:rsid w:val="0033283C"/>
    <w:rsid w:val="00332DC9"/>
    <w:rsid w:val="003330D3"/>
    <w:rsid w:val="003336A3"/>
    <w:rsid w:val="00333FB1"/>
    <w:rsid w:val="003340B6"/>
    <w:rsid w:val="00334663"/>
    <w:rsid w:val="003353DF"/>
    <w:rsid w:val="0034053C"/>
    <w:rsid w:val="00341E02"/>
    <w:rsid w:val="00342B32"/>
    <w:rsid w:val="003434F7"/>
    <w:rsid w:val="00343A6E"/>
    <w:rsid w:val="00344BF3"/>
    <w:rsid w:val="0034541C"/>
    <w:rsid w:val="003501DC"/>
    <w:rsid w:val="003517FD"/>
    <w:rsid w:val="003524FD"/>
    <w:rsid w:val="0035375C"/>
    <w:rsid w:val="00353ACB"/>
    <w:rsid w:val="00353CE9"/>
    <w:rsid w:val="003545CA"/>
    <w:rsid w:val="00355BBE"/>
    <w:rsid w:val="003560F8"/>
    <w:rsid w:val="00357487"/>
    <w:rsid w:val="003602B8"/>
    <w:rsid w:val="003603B3"/>
    <w:rsid w:val="00360806"/>
    <w:rsid w:val="00360B02"/>
    <w:rsid w:val="00361156"/>
    <w:rsid w:val="003628C0"/>
    <w:rsid w:val="00362B8C"/>
    <w:rsid w:val="00363920"/>
    <w:rsid w:val="00363A07"/>
    <w:rsid w:val="00364557"/>
    <w:rsid w:val="003647B2"/>
    <w:rsid w:val="0036528B"/>
    <w:rsid w:val="00365C2E"/>
    <w:rsid w:val="00365CB5"/>
    <w:rsid w:val="00366FDF"/>
    <w:rsid w:val="0036784C"/>
    <w:rsid w:val="00367EAC"/>
    <w:rsid w:val="00370D60"/>
    <w:rsid w:val="0037108E"/>
    <w:rsid w:val="003717CC"/>
    <w:rsid w:val="00371913"/>
    <w:rsid w:val="0037327D"/>
    <w:rsid w:val="003735FB"/>
    <w:rsid w:val="00373912"/>
    <w:rsid w:val="00373F50"/>
    <w:rsid w:val="00374312"/>
    <w:rsid w:val="00375E86"/>
    <w:rsid w:val="00376004"/>
    <w:rsid w:val="0037604C"/>
    <w:rsid w:val="003760A5"/>
    <w:rsid w:val="00377005"/>
    <w:rsid w:val="00383A6C"/>
    <w:rsid w:val="00383EFD"/>
    <w:rsid w:val="00385F62"/>
    <w:rsid w:val="0038669F"/>
    <w:rsid w:val="00387723"/>
    <w:rsid w:val="00391399"/>
    <w:rsid w:val="003932B8"/>
    <w:rsid w:val="00394761"/>
    <w:rsid w:val="003947DE"/>
    <w:rsid w:val="003953F2"/>
    <w:rsid w:val="00395858"/>
    <w:rsid w:val="00397475"/>
    <w:rsid w:val="003A0720"/>
    <w:rsid w:val="003A18D8"/>
    <w:rsid w:val="003A19D3"/>
    <w:rsid w:val="003A1D87"/>
    <w:rsid w:val="003A4676"/>
    <w:rsid w:val="003A5930"/>
    <w:rsid w:val="003A78AE"/>
    <w:rsid w:val="003A7FF9"/>
    <w:rsid w:val="003B057E"/>
    <w:rsid w:val="003B0DB8"/>
    <w:rsid w:val="003B1E64"/>
    <w:rsid w:val="003B22D2"/>
    <w:rsid w:val="003B2B06"/>
    <w:rsid w:val="003B3E45"/>
    <w:rsid w:val="003B45E6"/>
    <w:rsid w:val="003B4838"/>
    <w:rsid w:val="003B4C1F"/>
    <w:rsid w:val="003B4C44"/>
    <w:rsid w:val="003B5A14"/>
    <w:rsid w:val="003B686F"/>
    <w:rsid w:val="003B6CD9"/>
    <w:rsid w:val="003C016B"/>
    <w:rsid w:val="003C33AF"/>
    <w:rsid w:val="003C3829"/>
    <w:rsid w:val="003C4860"/>
    <w:rsid w:val="003C4A40"/>
    <w:rsid w:val="003C6B4A"/>
    <w:rsid w:val="003D182D"/>
    <w:rsid w:val="003D3B55"/>
    <w:rsid w:val="003D4775"/>
    <w:rsid w:val="003D48E4"/>
    <w:rsid w:val="003D6B46"/>
    <w:rsid w:val="003D7156"/>
    <w:rsid w:val="003D7B9B"/>
    <w:rsid w:val="003E0406"/>
    <w:rsid w:val="003E09B4"/>
    <w:rsid w:val="003E0DB8"/>
    <w:rsid w:val="003E15AC"/>
    <w:rsid w:val="003E1646"/>
    <w:rsid w:val="003E1AA1"/>
    <w:rsid w:val="003E7B24"/>
    <w:rsid w:val="003F097B"/>
    <w:rsid w:val="003F1937"/>
    <w:rsid w:val="003F1D47"/>
    <w:rsid w:val="003F1FEB"/>
    <w:rsid w:val="003F2253"/>
    <w:rsid w:val="003F4EFB"/>
    <w:rsid w:val="003F5BCE"/>
    <w:rsid w:val="003F5D3B"/>
    <w:rsid w:val="003F5EBC"/>
    <w:rsid w:val="003F6B14"/>
    <w:rsid w:val="003F6C21"/>
    <w:rsid w:val="003F7260"/>
    <w:rsid w:val="003F7599"/>
    <w:rsid w:val="004016D7"/>
    <w:rsid w:val="00402EEB"/>
    <w:rsid w:val="00402FAF"/>
    <w:rsid w:val="00406B3E"/>
    <w:rsid w:val="00411AAC"/>
    <w:rsid w:val="0041319D"/>
    <w:rsid w:val="00413287"/>
    <w:rsid w:val="004202E2"/>
    <w:rsid w:val="00420FB6"/>
    <w:rsid w:val="004211F5"/>
    <w:rsid w:val="00421286"/>
    <w:rsid w:val="00423122"/>
    <w:rsid w:val="004242B9"/>
    <w:rsid w:val="00424B01"/>
    <w:rsid w:val="00425B6A"/>
    <w:rsid w:val="00425DA8"/>
    <w:rsid w:val="00425E3A"/>
    <w:rsid w:val="004303A4"/>
    <w:rsid w:val="00431D2B"/>
    <w:rsid w:val="00433F33"/>
    <w:rsid w:val="00434FF4"/>
    <w:rsid w:val="00434FFA"/>
    <w:rsid w:val="004350C9"/>
    <w:rsid w:val="00436080"/>
    <w:rsid w:val="0043687B"/>
    <w:rsid w:val="004415D2"/>
    <w:rsid w:val="00441DA4"/>
    <w:rsid w:val="00442242"/>
    <w:rsid w:val="004424EE"/>
    <w:rsid w:val="00443179"/>
    <w:rsid w:val="00443F7D"/>
    <w:rsid w:val="00444822"/>
    <w:rsid w:val="004461FC"/>
    <w:rsid w:val="00446736"/>
    <w:rsid w:val="0044675E"/>
    <w:rsid w:val="00451E1B"/>
    <w:rsid w:val="004529A9"/>
    <w:rsid w:val="004533F9"/>
    <w:rsid w:val="004535EF"/>
    <w:rsid w:val="00456343"/>
    <w:rsid w:val="00456850"/>
    <w:rsid w:val="00457CFE"/>
    <w:rsid w:val="004609B5"/>
    <w:rsid w:val="00460C4D"/>
    <w:rsid w:val="00461AE7"/>
    <w:rsid w:val="004633AD"/>
    <w:rsid w:val="00463413"/>
    <w:rsid w:val="004646B4"/>
    <w:rsid w:val="0046486A"/>
    <w:rsid w:val="00467F9C"/>
    <w:rsid w:val="004706CF"/>
    <w:rsid w:val="00470A3C"/>
    <w:rsid w:val="00471097"/>
    <w:rsid w:val="00471367"/>
    <w:rsid w:val="00471655"/>
    <w:rsid w:val="00471E91"/>
    <w:rsid w:val="004722C4"/>
    <w:rsid w:val="00472350"/>
    <w:rsid w:val="00472560"/>
    <w:rsid w:val="00473D7B"/>
    <w:rsid w:val="0047400C"/>
    <w:rsid w:val="004747D9"/>
    <w:rsid w:val="0047503C"/>
    <w:rsid w:val="00476104"/>
    <w:rsid w:val="00476359"/>
    <w:rsid w:val="00481B4E"/>
    <w:rsid w:val="00485D52"/>
    <w:rsid w:val="00486E32"/>
    <w:rsid w:val="00491BB8"/>
    <w:rsid w:val="00491CBD"/>
    <w:rsid w:val="00491CC8"/>
    <w:rsid w:val="00494BF3"/>
    <w:rsid w:val="004950B2"/>
    <w:rsid w:val="00495297"/>
    <w:rsid w:val="00495B56"/>
    <w:rsid w:val="0049617A"/>
    <w:rsid w:val="00497B74"/>
    <w:rsid w:val="00497F6F"/>
    <w:rsid w:val="004A0BBD"/>
    <w:rsid w:val="004A1828"/>
    <w:rsid w:val="004A2452"/>
    <w:rsid w:val="004A2A64"/>
    <w:rsid w:val="004A2AF0"/>
    <w:rsid w:val="004A323C"/>
    <w:rsid w:val="004A3767"/>
    <w:rsid w:val="004A38EF"/>
    <w:rsid w:val="004A46D0"/>
    <w:rsid w:val="004A4E25"/>
    <w:rsid w:val="004A64DF"/>
    <w:rsid w:val="004B089B"/>
    <w:rsid w:val="004B2FBD"/>
    <w:rsid w:val="004B36DA"/>
    <w:rsid w:val="004B386B"/>
    <w:rsid w:val="004B3C98"/>
    <w:rsid w:val="004B417C"/>
    <w:rsid w:val="004B58D7"/>
    <w:rsid w:val="004B6323"/>
    <w:rsid w:val="004B6488"/>
    <w:rsid w:val="004B6740"/>
    <w:rsid w:val="004B679E"/>
    <w:rsid w:val="004B6D54"/>
    <w:rsid w:val="004B6F53"/>
    <w:rsid w:val="004B7C29"/>
    <w:rsid w:val="004C19C5"/>
    <w:rsid w:val="004C222D"/>
    <w:rsid w:val="004C2910"/>
    <w:rsid w:val="004C2C6C"/>
    <w:rsid w:val="004C2ECE"/>
    <w:rsid w:val="004C46D5"/>
    <w:rsid w:val="004C58B9"/>
    <w:rsid w:val="004D1032"/>
    <w:rsid w:val="004D1063"/>
    <w:rsid w:val="004D2826"/>
    <w:rsid w:val="004D2C9B"/>
    <w:rsid w:val="004D45E8"/>
    <w:rsid w:val="004D589F"/>
    <w:rsid w:val="004D67CB"/>
    <w:rsid w:val="004D6F0B"/>
    <w:rsid w:val="004D7A3B"/>
    <w:rsid w:val="004E0D5E"/>
    <w:rsid w:val="004E0D84"/>
    <w:rsid w:val="004E2542"/>
    <w:rsid w:val="004E3E75"/>
    <w:rsid w:val="004E42EE"/>
    <w:rsid w:val="004E59F5"/>
    <w:rsid w:val="004E73E7"/>
    <w:rsid w:val="004F2223"/>
    <w:rsid w:val="004F3231"/>
    <w:rsid w:val="004F4359"/>
    <w:rsid w:val="004F61F4"/>
    <w:rsid w:val="0050178A"/>
    <w:rsid w:val="00505777"/>
    <w:rsid w:val="005061AF"/>
    <w:rsid w:val="00506275"/>
    <w:rsid w:val="005068DA"/>
    <w:rsid w:val="00506C63"/>
    <w:rsid w:val="005073B3"/>
    <w:rsid w:val="00511761"/>
    <w:rsid w:val="0051294A"/>
    <w:rsid w:val="00513103"/>
    <w:rsid w:val="005136D5"/>
    <w:rsid w:val="005138D8"/>
    <w:rsid w:val="0051420D"/>
    <w:rsid w:val="00516506"/>
    <w:rsid w:val="00516E06"/>
    <w:rsid w:val="0051772D"/>
    <w:rsid w:val="00520B52"/>
    <w:rsid w:val="00520EBD"/>
    <w:rsid w:val="00521C1A"/>
    <w:rsid w:val="00522282"/>
    <w:rsid w:val="00523195"/>
    <w:rsid w:val="00524A3C"/>
    <w:rsid w:val="00524C95"/>
    <w:rsid w:val="00525DFC"/>
    <w:rsid w:val="005264FE"/>
    <w:rsid w:val="005265A7"/>
    <w:rsid w:val="00526851"/>
    <w:rsid w:val="00527235"/>
    <w:rsid w:val="0053045E"/>
    <w:rsid w:val="00530497"/>
    <w:rsid w:val="0053100D"/>
    <w:rsid w:val="005344CC"/>
    <w:rsid w:val="00534DCC"/>
    <w:rsid w:val="00536256"/>
    <w:rsid w:val="005363EC"/>
    <w:rsid w:val="005401C8"/>
    <w:rsid w:val="00542250"/>
    <w:rsid w:val="00542D26"/>
    <w:rsid w:val="005433B2"/>
    <w:rsid w:val="005443B4"/>
    <w:rsid w:val="00545399"/>
    <w:rsid w:val="00545ED7"/>
    <w:rsid w:val="00545EED"/>
    <w:rsid w:val="005465CE"/>
    <w:rsid w:val="00547058"/>
    <w:rsid w:val="0054741A"/>
    <w:rsid w:val="005502D1"/>
    <w:rsid w:val="00551ABD"/>
    <w:rsid w:val="005541E5"/>
    <w:rsid w:val="005558A9"/>
    <w:rsid w:val="00555FD3"/>
    <w:rsid w:val="0055708A"/>
    <w:rsid w:val="00560977"/>
    <w:rsid w:val="005609CF"/>
    <w:rsid w:val="005619E0"/>
    <w:rsid w:val="00561B9E"/>
    <w:rsid w:val="005625BD"/>
    <w:rsid w:val="00562AF1"/>
    <w:rsid w:val="0056379E"/>
    <w:rsid w:val="005641C1"/>
    <w:rsid w:val="00564875"/>
    <w:rsid w:val="00564C28"/>
    <w:rsid w:val="005669E4"/>
    <w:rsid w:val="00566E47"/>
    <w:rsid w:val="0056777E"/>
    <w:rsid w:val="0057037E"/>
    <w:rsid w:val="00570614"/>
    <w:rsid w:val="00572EB9"/>
    <w:rsid w:val="00573BF2"/>
    <w:rsid w:val="005748AA"/>
    <w:rsid w:val="00574F2F"/>
    <w:rsid w:val="005764E4"/>
    <w:rsid w:val="0057665D"/>
    <w:rsid w:val="005779F1"/>
    <w:rsid w:val="00580266"/>
    <w:rsid w:val="0058030C"/>
    <w:rsid w:val="0058065E"/>
    <w:rsid w:val="00580ADC"/>
    <w:rsid w:val="00583092"/>
    <w:rsid w:val="00583377"/>
    <w:rsid w:val="00590028"/>
    <w:rsid w:val="005906B3"/>
    <w:rsid w:val="00590FFB"/>
    <w:rsid w:val="00591745"/>
    <w:rsid w:val="00592E5A"/>
    <w:rsid w:val="005941A7"/>
    <w:rsid w:val="00594635"/>
    <w:rsid w:val="005948E5"/>
    <w:rsid w:val="00595000"/>
    <w:rsid w:val="00595FC9"/>
    <w:rsid w:val="005A0709"/>
    <w:rsid w:val="005A0FF9"/>
    <w:rsid w:val="005A179F"/>
    <w:rsid w:val="005A2A49"/>
    <w:rsid w:val="005A346A"/>
    <w:rsid w:val="005A39CE"/>
    <w:rsid w:val="005A3AEA"/>
    <w:rsid w:val="005A4086"/>
    <w:rsid w:val="005A4FB6"/>
    <w:rsid w:val="005A5503"/>
    <w:rsid w:val="005A6357"/>
    <w:rsid w:val="005B07BF"/>
    <w:rsid w:val="005B18C0"/>
    <w:rsid w:val="005B1978"/>
    <w:rsid w:val="005B2C01"/>
    <w:rsid w:val="005B2D43"/>
    <w:rsid w:val="005B2FE1"/>
    <w:rsid w:val="005B31F0"/>
    <w:rsid w:val="005B583D"/>
    <w:rsid w:val="005B659A"/>
    <w:rsid w:val="005B6F68"/>
    <w:rsid w:val="005B7AF1"/>
    <w:rsid w:val="005C1676"/>
    <w:rsid w:val="005C1689"/>
    <w:rsid w:val="005C1A0E"/>
    <w:rsid w:val="005C533E"/>
    <w:rsid w:val="005C5EE9"/>
    <w:rsid w:val="005C669C"/>
    <w:rsid w:val="005C6890"/>
    <w:rsid w:val="005C6CA2"/>
    <w:rsid w:val="005C7286"/>
    <w:rsid w:val="005C77A8"/>
    <w:rsid w:val="005C7B8C"/>
    <w:rsid w:val="005D05B4"/>
    <w:rsid w:val="005D193C"/>
    <w:rsid w:val="005D1A90"/>
    <w:rsid w:val="005D24F6"/>
    <w:rsid w:val="005D2E81"/>
    <w:rsid w:val="005D2FAA"/>
    <w:rsid w:val="005D3035"/>
    <w:rsid w:val="005D4A77"/>
    <w:rsid w:val="005D5471"/>
    <w:rsid w:val="005D6119"/>
    <w:rsid w:val="005D63B7"/>
    <w:rsid w:val="005D769B"/>
    <w:rsid w:val="005D784C"/>
    <w:rsid w:val="005E0960"/>
    <w:rsid w:val="005E1B2A"/>
    <w:rsid w:val="005E20AC"/>
    <w:rsid w:val="005E2220"/>
    <w:rsid w:val="005E244E"/>
    <w:rsid w:val="005E3D3E"/>
    <w:rsid w:val="005E3E34"/>
    <w:rsid w:val="005E6201"/>
    <w:rsid w:val="005E6D18"/>
    <w:rsid w:val="005F1208"/>
    <w:rsid w:val="005F1A3C"/>
    <w:rsid w:val="005F1D87"/>
    <w:rsid w:val="005F303E"/>
    <w:rsid w:val="005F34A4"/>
    <w:rsid w:val="005F7525"/>
    <w:rsid w:val="005F791C"/>
    <w:rsid w:val="0060035A"/>
    <w:rsid w:val="00601932"/>
    <w:rsid w:val="00601B39"/>
    <w:rsid w:val="00601E9D"/>
    <w:rsid w:val="00604DBF"/>
    <w:rsid w:val="0060548F"/>
    <w:rsid w:val="00605AC8"/>
    <w:rsid w:val="00606E2D"/>
    <w:rsid w:val="00607396"/>
    <w:rsid w:val="00607579"/>
    <w:rsid w:val="00610995"/>
    <w:rsid w:val="006110C7"/>
    <w:rsid w:val="0061220D"/>
    <w:rsid w:val="00612618"/>
    <w:rsid w:val="006140E4"/>
    <w:rsid w:val="006161F0"/>
    <w:rsid w:val="00616E0D"/>
    <w:rsid w:val="00617AD7"/>
    <w:rsid w:val="0062215E"/>
    <w:rsid w:val="006237D1"/>
    <w:rsid w:val="0062465B"/>
    <w:rsid w:val="00624F09"/>
    <w:rsid w:val="00625C68"/>
    <w:rsid w:val="006261EE"/>
    <w:rsid w:val="00626383"/>
    <w:rsid w:val="00626490"/>
    <w:rsid w:val="00627823"/>
    <w:rsid w:val="0063070B"/>
    <w:rsid w:val="006308B3"/>
    <w:rsid w:val="006326CA"/>
    <w:rsid w:val="0063594F"/>
    <w:rsid w:val="00635E70"/>
    <w:rsid w:val="006365F2"/>
    <w:rsid w:val="006367CF"/>
    <w:rsid w:val="00636B30"/>
    <w:rsid w:val="00637318"/>
    <w:rsid w:val="00637530"/>
    <w:rsid w:val="00637978"/>
    <w:rsid w:val="006401D5"/>
    <w:rsid w:val="00640B3F"/>
    <w:rsid w:val="00641A11"/>
    <w:rsid w:val="00641BE3"/>
    <w:rsid w:val="00641E21"/>
    <w:rsid w:val="00643A19"/>
    <w:rsid w:val="00646A71"/>
    <w:rsid w:val="0064774E"/>
    <w:rsid w:val="00650341"/>
    <w:rsid w:val="00650E64"/>
    <w:rsid w:val="00651BEB"/>
    <w:rsid w:val="00651DB5"/>
    <w:rsid w:val="00653EFF"/>
    <w:rsid w:val="00654F19"/>
    <w:rsid w:val="006558DE"/>
    <w:rsid w:val="00655CFD"/>
    <w:rsid w:val="00655F1E"/>
    <w:rsid w:val="006560BE"/>
    <w:rsid w:val="006563D2"/>
    <w:rsid w:val="00656714"/>
    <w:rsid w:val="0066085F"/>
    <w:rsid w:val="006612CC"/>
    <w:rsid w:val="00661B52"/>
    <w:rsid w:val="00661BCD"/>
    <w:rsid w:val="00661C56"/>
    <w:rsid w:val="006621AF"/>
    <w:rsid w:val="00665533"/>
    <w:rsid w:val="00666568"/>
    <w:rsid w:val="00666656"/>
    <w:rsid w:val="00666E25"/>
    <w:rsid w:val="006711C0"/>
    <w:rsid w:val="00671DB9"/>
    <w:rsid w:val="00674661"/>
    <w:rsid w:val="00675FF0"/>
    <w:rsid w:val="00676332"/>
    <w:rsid w:val="00677FDE"/>
    <w:rsid w:val="00680571"/>
    <w:rsid w:val="00681529"/>
    <w:rsid w:val="00683AAB"/>
    <w:rsid w:val="00683DEE"/>
    <w:rsid w:val="0068417A"/>
    <w:rsid w:val="00684314"/>
    <w:rsid w:val="00684553"/>
    <w:rsid w:val="00684735"/>
    <w:rsid w:val="00684E53"/>
    <w:rsid w:val="00684E61"/>
    <w:rsid w:val="00685558"/>
    <w:rsid w:val="0068586B"/>
    <w:rsid w:val="00687073"/>
    <w:rsid w:val="00690B28"/>
    <w:rsid w:val="0069107C"/>
    <w:rsid w:val="006922BF"/>
    <w:rsid w:val="00694323"/>
    <w:rsid w:val="0069585C"/>
    <w:rsid w:val="00696C91"/>
    <w:rsid w:val="0069772F"/>
    <w:rsid w:val="00697BCA"/>
    <w:rsid w:val="00697E9D"/>
    <w:rsid w:val="006A073C"/>
    <w:rsid w:val="006A1521"/>
    <w:rsid w:val="006A22C4"/>
    <w:rsid w:val="006A35FF"/>
    <w:rsid w:val="006A3FEC"/>
    <w:rsid w:val="006A56BA"/>
    <w:rsid w:val="006A6A0D"/>
    <w:rsid w:val="006A7F45"/>
    <w:rsid w:val="006B0292"/>
    <w:rsid w:val="006B07B7"/>
    <w:rsid w:val="006B1E59"/>
    <w:rsid w:val="006B29A9"/>
    <w:rsid w:val="006B33E5"/>
    <w:rsid w:val="006B4641"/>
    <w:rsid w:val="006B49AF"/>
    <w:rsid w:val="006B49EB"/>
    <w:rsid w:val="006B7CAB"/>
    <w:rsid w:val="006B7DE2"/>
    <w:rsid w:val="006C0846"/>
    <w:rsid w:val="006C1597"/>
    <w:rsid w:val="006C3918"/>
    <w:rsid w:val="006C6408"/>
    <w:rsid w:val="006C7138"/>
    <w:rsid w:val="006D003E"/>
    <w:rsid w:val="006D08E2"/>
    <w:rsid w:val="006D2D49"/>
    <w:rsid w:val="006D5122"/>
    <w:rsid w:val="006D5AA1"/>
    <w:rsid w:val="006D6EF4"/>
    <w:rsid w:val="006D7F4E"/>
    <w:rsid w:val="006E07FE"/>
    <w:rsid w:val="006E0A1B"/>
    <w:rsid w:val="006E126D"/>
    <w:rsid w:val="006E12ED"/>
    <w:rsid w:val="006E22C9"/>
    <w:rsid w:val="006E29F5"/>
    <w:rsid w:val="006E31AE"/>
    <w:rsid w:val="006E3EF0"/>
    <w:rsid w:val="006E4403"/>
    <w:rsid w:val="006E4C63"/>
    <w:rsid w:val="006E5E2D"/>
    <w:rsid w:val="006E6F33"/>
    <w:rsid w:val="006E6F46"/>
    <w:rsid w:val="006E763E"/>
    <w:rsid w:val="006F1643"/>
    <w:rsid w:val="006F2EBE"/>
    <w:rsid w:val="006F396E"/>
    <w:rsid w:val="006F431A"/>
    <w:rsid w:val="006F5975"/>
    <w:rsid w:val="006F6319"/>
    <w:rsid w:val="006F71D1"/>
    <w:rsid w:val="007017DE"/>
    <w:rsid w:val="007028E1"/>
    <w:rsid w:val="00702948"/>
    <w:rsid w:val="0070407F"/>
    <w:rsid w:val="007048D3"/>
    <w:rsid w:val="00706170"/>
    <w:rsid w:val="00707989"/>
    <w:rsid w:val="007079D1"/>
    <w:rsid w:val="0071348A"/>
    <w:rsid w:val="00714A40"/>
    <w:rsid w:val="00716554"/>
    <w:rsid w:val="0071686F"/>
    <w:rsid w:val="00716D8A"/>
    <w:rsid w:val="0071720C"/>
    <w:rsid w:val="00721D19"/>
    <w:rsid w:val="00722EC2"/>
    <w:rsid w:val="00723157"/>
    <w:rsid w:val="0072403B"/>
    <w:rsid w:val="00724250"/>
    <w:rsid w:val="00724585"/>
    <w:rsid w:val="00725223"/>
    <w:rsid w:val="007302F0"/>
    <w:rsid w:val="00730429"/>
    <w:rsid w:val="00730AF5"/>
    <w:rsid w:val="00731B50"/>
    <w:rsid w:val="00732EE8"/>
    <w:rsid w:val="00734676"/>
    <w:rsid w:val="00735DC7"/>
    <w:rsid w:val="00736010"/>
    <w:rsid w:val="007362C0"/>
    <w:rsid w:val="00740520"/>
    <w:rsid w:val="00741307"/>
    <w:rsid w:val="00741688"/>
    <w:rsid w:val="0074242A"/>
    <w:rsid w:val="00742930"/>
    <w:rsid w:val="00742DB8"/>
    <w:rsid w:val="0074369C"/>
    <w:rsid w:val="007447CE"/>
    <w:rsid w:val="00746368"/>
    <w:rsid w:val="007478B5"/>
    <w:rsid w:val="0075126F"/>
    <w:rsid w:val="00751450"/>
    <w:rsid w:val="0075168A"/>
    <w:rsid w:val="007524AC"/>
    <w:rsid w:val="00755F00"/>
    <w:rsid w:val="00756907"/>
    <w:rsid w:val="00757682"/>
    <w:rsid w:val="00760694"/>
    <w:rsid w:val="00760FF5"/>
    <w:rsid w:val="00761C89"/>
    <w:rsid w:val="00762AEA"/>
    <w:rsid w:val="00762CC5"/>
    <w:rsid w:val="0076368F"/>
    <w:rsid w:val="007638B7"/>
    <w:rsid w:val="007642C7"/>
    <w:rsid w:val="00764452"/>
    <w:rsid w:val="00764D2F"/>
    <w:rsid w:val="00766525"/>
    <w:rsid w:val="007665C7"/>
    <w:rsid w:val="00770210"/>
    <w:rsid w:val="0077480B"/>
    <w:rsid w:val="00774BB8"/>
    <w:rsid w:val="0077508C"/>
    <w:rsid w:val="007752A5"/>
    <w:rsid w:val="0077641C"/>
    <w:rsid w:val="00776570"/>
    <w:rsid w:val="00776E9A"/>
    <w:rsid w:val="007776B6"/>
    <w:rsid w:val="00783FFE"/>
    <w:rsid w:val="00784398"/>
    <w:rsid w:val="00784E4B"/>
    <w:rsid w:val="007851A5"/>
    <w:rsid w:val="007869C4"/>
    <w:rsid w:val="00786BDD"/>
    <w:rsid w:val="0079122D"/>
    <w:rsid w:val="00791A15"/>
    <w:rsid w:val="00792F76"/>
    <w:rsid w:val="00793533"/>
    <w:rsid w:val="007948B3"/>
    <w:rsid w:val="00794A07"/>
    <w:rsid w:val="0079507F"/>
    <w:rsid w:val="00795A99"/>
    <w:rsid w:val="00795E4D"/>
    <w:rsid w:val="0079617C"/>
    <w:rsid w:val="00796390"/>
    <w:rsid w:val="00796538"/>
    <w:rsid w:val="00797233"/>
    <w:rsid w:val="007A0CDC"/>
    <w:rsid w:val="007A1225"/>
    <w:rsid w:val="007A1337"/>
    <w:rsid w:val="007A15EE"/>
    <w:rsid w:val="007A3AD4"/>
    <w:rsid w:val="007A49AC"/>
    <w:rsid w:val="007A5518"/>
    <w:rsid w:val="007A70C1"/>
    <w:rsid w:val="007A7BD9"/>
    <w:rsid w:val="007B0AC6"/>
    <w:rsid w:val="007B3747"/>
    <w:rsid w:val="007B47F0"/>
    <w:rsid w:val="007B48EE"/>
    <w:rsid w:val="007B509F"/>
    <w:rsid w:val="007B5C4E"/>
    <w:rsid w:val="007B6860"/>
    <w:rsid w:val="007B6A21"/>
    <w:rsid w:val="007B6A46"/>
    <w:rsid w:val="007B7413"/>
    <w:rsid w:val="007B76F9"/>
    <w:rsid w:val="007C2E9C"/>
    <w:rsid w:val="007C48C2"/>
    <w:rsid w:val="007C5607"/>
    <w:rsid w:val="007D0AAE"/>
    <w:rsid w:val="007D1480"/>
    <w:rsid w:val="007D359F"/>
    <w:rsid w:val="007D3DD4"/>
    <w:rsid w:val="007D4841"/>
    <w:rsid w:val="007D4882"/>
    <w:rsid w:val="007D4DE0"/>
    <w:rsid w:val="007D65C7"/>
    <w:rsid w:val="007D6FDB"/>
    <w:rsid w:val="007D73DD"/>
    <w:rsid w:val="007D754F"/>
    <w:rsid w:val="007D7E9A"/>
    <w:rsid w:val="007E026D"/>
    <w:rsid w:val="007E107C"/>
    <w:rsid w:val="007E122A"/>
    <w:rsid w:val="007E18ED"/>
    <w:rsid w:val="007E2201"/>
    <w:rsid w:val="007E428F"/>
    <w:rsid w:val="007E440A"/>
    <w:rsid w:val="007E4923"/>
    <w:rsid w:val="007E5394"/>
    <w:rsid w:val="007E7B90"/>
    <w:rsid w:val="007E7CCE"/>
    <w:rsid w:val="007F0804"/>
    <w:rsid w:val="007F1C2E"/>
    <w:rsid w:val="007F2024"/>
    <w:rsid w:val="007F3236"/>
    <w:rsid w:val="007F3F16"/>
    <w:rsid w:val="007F511B"/>
    <w:rsid w:val="007F5500"/>
    <w:rsid w:val="007F5DF7"/>
    <w:rsid w:val="007F6CC4"/>
    <w:rsid w:val="007F718D"/>
    <w:rsid w:val="007F773C"/>
    <w:rsid w:val="0080054A"/>
    <w:rsid w:val="00801BA2"/>
    <w:rsid w:val="00802A19"/>
    <w:rsid w:val="00802E57"/>
    <w:rsid w:val="00803094"/>
    <w:rsid w:val="00803712"/>
    <w:rsid w:val="008038CA"/>
    <w:rsid w:val="0080626A"/>
    <w:rsid w:val="00806E25"/>
    <w:rsid w:val="008077DE"/>
    <w:rsid w:val="00807DC2"/>
    <w:rsid w:val="0081007D"/>
    <w:rsid w:val="0081072B"/>
    <w:rsid w:val="00810894"/>
    <w:rsid w:val="00811220"/>
    <w:rsid w:val="00811AC4"/>
    <w:rsid w:val="008120C0"/>
    <w:rsid w:val="00812DD6"/>
    <w:rsid w:val="00813040"/>
    <w:rsid w:val="00813CA5"/>
    <w:rsid w:val="00815374"/>
    <w:rsid w:val="008153CF"/>
    <w:rsid w:val="00815E7D"/>
    <w:rsid w:val="008170A1"/>
    <w:rsid w:val="00820DB3"/>
    <w:rsid w:val="00820DDF"/>
    <w:rsid w:val="008224BB"/>
    <w:rsid w:val="00822D27"/>
    <w:rsid w:val="0082371B"/>
    <w:rsid w:val="00825DB5"/>
    <w:rsid w:val="00826281"/>
    <w:rsid w:val="00831E49"/>
    <w:rsid w:val="00832EA2"/>
    <w:rsid w:val="00833849"/>
    <w:rsid w:val="00833AAB"/>
    <w:rsid w:val="00836613"/>
    <w:rsid w:val="00836BC0"/>
    <w:rsid w:val="00837077"/>
    <w:rsid w:val="008375A7"/>
    <w:rsid w:val="00837644"/>
    <w:rsid w:val="00841437"/>
    <w:rsid w:val="00841C53"/>
    <w:rsid w:val="00841FBF"/>
    <w:rsid w:val="00844120"/>
    <w:rsid w:val="00845EF0"/>
    <w:rsid w:val="0084611F"/>
    <w:rsid w:val="0084720F"/>
    <w:rsid w:val="008478E4"/>
    <w:rsid w:val="00847DD1"/>
    <w:rsid w:val="00852DEA"/>
    <w:rsid w:val="00853A90"/>
    <w:rsid w:val="0085457F"/>
    <w:rsid w:val="00854CAE"/>
    <w:rsid w:val="0085594E"/>
    <w:rsid w:val="00856F00"/>
    <w:rsid w:val="008573B0"/>
    <w:rsid w:val="00861A18"/>
    <w:rsid w:val="008620BC"/>
    <w:rsid w:val="00863A09"/>
    <w:rsid w:val="00864BE3"/>
    <w:rsid w:val="0086514A"/>
    <w:rsid w:val="0086552E"/>
    <w:rsid w:val="00866A1A"/>
    <w:rsid w:val="00866EA5"/>
    <w:rsid w:val="00866EE8"/>
    <w:rsid w:val="00866FF5"/>
    <w:rsid w:val="00867258"/>
    <w:rsid w:val="00871462"/>
    <w:rsid w:val="00872D1C"/>
    <w:rsid w:val="0087378B"/>
    <w:rsid w:val="008738A3"/>
    <w:rsid w:val="00873EAF"/>
    <w:rsid w:val="00873F14"/>
    <w:rsid w:val="00875676"/>
    <w:rsid w:val="00875A48"/>
    <w:rsid w:val="00875C72"/>
    <w:rsid w:val="008770A5"/>
    <w:rsid w:val="0087754F"/>
    <w:rsid w:val="00877611"/>
    <w:rsid w:val="00880BF2"/>
    <w:rsid w:val="008824E7"/>
    <w:rsid w:val="0088252A"/>
    <w:rsid w:val="0088404E"/>
    <w:rsid w:val="008850C3"/>
    <w:rsid w:val="008851ED"/>
    <w:rsid w:val="00885C12"/>
    <w:rsid w:val="008873D7"/>
    <w:rsid w:val="0088770F"/>
    <w:rsid w:val="00887AC9"/>
    <w:rsid w:val="00890BB8"/>
    <w:rsid w:val="00891B0D"/>
    <w:rsid w:val="0089369D"/>
    <w:rsid w:val="0089549D"/>
    <w:rsid w:val="00895CB0"/>
    <w:rsid w:val="00897F27"/>
    <w:rsid w:val="008A090D"/>
    <w:rsid w:val="008A15B7"/>
    <w:rsid w:val="008A1C3B"/>
    <w:rsid w:val="008A2418"/>
    <w:rsid w:val="008A26FF"/>
    <w:rsid w:val="008A316B"/>
    <w:rsid w:val="008A4B83"/>
    <w:rsid w:val="008A543B"/>
    <w:rsid w:val="008A6F7D"/>
    <w:rsid w:val="008A7E31"/>
    <w:rsid w:val="008B1079"/>
    <w:rsid w:val="008B37B5"/>
    <w:rsid w:val="008B392E"/>
    <w:rsid w:val="008B3CE6"/>
    <w:rsid w:val="008B42FE"/>
    <w:rsid w:val="008B508A"/>
    <w:rsid w:val="008B54A5"/>
    <w:rsid w:val="008B614D"/>
    <w:rsid w:val="008B67AE"/>
    <w:rsid w:val="008B6C44"/>
    <w:rsid w:val="008B6D1D"/>
    <w:rsid w:val="008B78D2"/>
    <w:rsid w:val="008B7D36"/>
    <w:rsid w:val="008C03DD"/>
    <w:rsid w:val="008C066D"/>
    <w:rsid w:val="008C1468"/>
    <w:rsid w:val="008C159C"/>
    <w:rsid w:val="008C180F"/>
    <w:rsid w:val="008C26FF"/>
    <w:rsid w:val="008C30D2"/>
    <w:rsid w:val="008C3A62"/>
    <w:rsid w:val="008C3E36"/>
    <w:rsid w:val="008C5375"/>
    <w:rsid w:val="008C58BD"/>
    <w:rsid w:val="008C5B92"/>
    <w:rsid w:val="008C61D9"/>
    <w:rsid w:val="008C7585"/>
    <w:rsid w:val="008C7C8E"/>
    <w:rsid w:val="008D0AD8"/>
    <w:rsid w:val="008D130E"/>
    <w:rsid w:val="008D141D"/>
    <w:rsid w:val="008D27A9"/>
    <w:rsid w:val="008D2B75"/>
    <w:rsid w:val="008D3637"/>
    <w:rsid w:val="008D3CD7"/>
    <w:rsid w:val="008D4B7A"/>
    <w:rsid w:val="008D4FCB"/>
    <w:rsid w:val="008D52A4"/>
    <w:rsid w:val="008D61A3"/>
    <w:rsid w:val="008D7583"/>
    <w:rsid w:val="008E18B5"/>
    <w:rsid w:val="008E35C8"/>
    <w:rsid w:val="008E393F"/>
    <w:rsid w:val="008E3A0C"/>
    <w:rsid w:val="008E3D05"/>
    <w:rsid w:val="008E3E5E"/>
    <w:rsid w:val="008E6660"/>
    <w:rsid w:val="008E77C9"/>
    <w:rsid w:val="008E7E0A"/>
    <w:rsid w:val="008F011A"/>
    <w:rsid w:val="008F03C3"/>
    <w:rsid w:val="008F0F13"/>
    <w:rsid w:val="008F192D"/>
    <w:rsid w:val="008F3141"/>
    <w:rsid w:val="008F331A"/>
    <w:rsid w:val="008F375E"/>
    <w:rsid w:val="008F456C"/>
    <w:rsid w:val="008F5940"/>
    <w:rsid w:val="008F5E65"/>
    <w:rsid w:val="008F666B"/>
    <w:rsid w:val="00901B84"/>
    <w:rsid w:val="00902969"/>
    <w:rsid w:val="009039E1"/>
    <w:rsid w:val="00905467"/>
    <w:rsid w:val="00905F03"/>
    <w:rsid w:val="0090680A"/>
    <w:rsid w:val="00906B94"/>
    <w:rsid w:val="00906BD4"/>
    <w:rsid w:val="009074A1"/>
    <w:rsid w:val="0090789A"/>
    <w:rsid w:val="009114E8"/>
    <w:rsid w:val="009116B0"/>
    <w:rsid w:val="00911C11"/>
    <w:rsid w:val="0091370F"/>
    <w:rsid w:val="00913BE2"/>
    <w:rsid w:val="00914BC3"/>
    <w:rsid w:val="00917E47"/>
    <w:rsid w:val="0092083E"/>
    <w:rsid w:val="009208DC"/>
    <w:rsid w:val="00921B13"/>
    <w:rsid w:val="00925737"/>
    <w:rsid w:val="009267CE"/>
    <w:rsid w:val="00926E6D"/>
    <w:rsid w:val="00926FD7"/>
    <w:rsid w:val="00927553"/>
    <w:rsid w:val="009276D8"/>
    <w:rsid w:val="009276E5"/>
    <w:rsid w:val="00927B4C"/>
    <w:rsid w:val="009311CD"/>
    <w:rsid w:val="00931222"/>
    <w:rsid w:val="009320B1"/>
    <w:rsid w:val="009320CF"/>
    <w:rsid w:val="00934036"/>
    <w:rsid w:val="00934FE8"/>
    <w:rsid w:val="00937782"/>
    <w:rsid w:val="00937A9D"/>
    <w:rsid w:val="00940FD7"/>
    <w:rsid w:val="0094161A"/>
    <w:rsid w:val="00941BC1"/>
    <w:rsid w:val="00943369"/>
    <w:rsid w:val="009473DC"/>
    <w:rsid w:val="00950E73"/>
    <w:rsid w:val="00950F16"/>
    <w:rsid w:val="00951356"/>
    <w:rsid w:val="00951E91"/>
    <w:rsid w:val="0095393D"/>
    <w:rsid w:val="00953CD1"/>
    <w:rsid w:val="009543AC"/>
    <w:rsid w:val="00955F87"/>
    <w:rsid w:val="009626F7"/>
    <w:rsid w:val="0096615F"/>
    <w:rsid w:val="009669CC"/>
    <w:rsid w:val="00966E2A"/>
    <w:rsid w:val="009670BD"/>
    <w:rsid w:val="00967E58"/>
    <w:rsid w:val="00970650"/>
    <w:rsid w:val="00972692"/>
    <w:rsid w:val="0097282D"/>
    <w:rsid w:val="009733D9"/>
    <w:rsid w:val="00973DB8"/>
    <w:rsid w:val="0097420C"/>
    <w:rsid w:val="009766A5"/>
    <w:rsid w:val="00976DA1"/>
    <w:rsid w:val="00976F78"/>
    <w:rsid w:val="0098042A"/>
    <w:rsid w:val="009819C9"/>
    <w:rsid w:val="00981B9B"/>
    <w:rsid w:val="00983F34"/>
    <w:rsid w:val="00984186"/>
    <w:rsid w:val="00985123"/>
    <w:rsid w:val="009854E5"/>
    <w:rsid w:val="009861B7"/>
    <w:rsid w:val="00986C59"/>
    <w:rsid w:val="00986DCF"/>
    <w:rsid w:val="00987420"/>
    <w:rsid w:val="0098746E"/>
    <w:rsid w:val="00987726"/>
    <w:rsid w:val="00990D29"/>
    <w:rsid w:val="00990F02"/>
    <w:rsid w:val="009921F8"/>
    <w:rsid w:val="00992DCF"/>
    <w:rsid w:val="00993669"/>
    <w:rsid w:val="00993A53"/>
    <w:rsid w:val="009940FB"/>
    <w:rsid w:val="00995958"/>
    <w:rsid w:val="009960F2"/>
    <w:rsid w:val="00996292"/>
    <w:rsid w:val="0099656C"/>
    <w:rsid w:val="009A116F"/>
    <w:rsid w:val="009A2564"/>
    <w:rsid w:val="009A4938"/>
    <w:rsid w:val="009A6694"/>
    <w:rsid w:val="009B3ADB"/>
    <w:rsid w:val="009B3F3C"/>
    <w:rsid w:val="009B4461"/>
    <w:rsid w:val="009B479E"/>
    <w:rsid w:val="009B5523"/>
    <w:rsid w:val="009B6412"/>
    <w:rsid w:val="009B6A32"/>
    <w:rsid w:val="009B6B75"/>
    <w:rsid w:val="009B7728"/>
    <w:rsid w:val="009B7EDE"/>
    <w:rsid w:val="009B7FA3"/>
    <w:rsid w:val="009C0294"/>
    <w:rsid w:val="009C2499"/>
    <w:rsid w:val="009C2FA4"/>
    <w:rsid w:val="009C483A"/>
    <w:rsid w:val="009C4E39"/>
    <w:rsid w:val="009C7C9E"/>
    <w:rsid w:val="009D2CFA"/>
    <w:rsid w:val="009D4E8D"/>
    <w:rsid w:val="009D4EDD"/>
    <w:rsid w:val="009D4FA8"/>
    <w:rsid w:val="009D5E76"/>
    <w:rsid w:val="009D6027"/>
    <w:rsid w:val="009D6080"/>
    <w:rsid w:val="009D64F3"/>
    <w:rsid w:val="009D75F7"/>
    <w:rsid w:val="009E2A6D"/>
    <w:rsid w:val="009E3660"/>
    <w:rsid w:val="009E3741"/>
    <w:rsid w:val="009E3E11"/>
    <w:rsid w:val="009E41C1"/>
    <w:rsid w:val="009E47EC"/>
    <w:rsid w:val="009E4CB6"/>
    <w:rsid w:val="009E543D"/>
    <w:rsid w:val="009E5B49"/>
    <w:rsid w:val="009E5CA5"/>
    <w:rsid w:val="009E6EDE"/>
    <w:rsid w:val="009F16DE"/>
    <w:rsid w:val="009F19FB"/>
    <w:rsid w:val="009F2A26"/>
    <w:rsid w:val="009F3046"/>
    <w:rsid w:val="009F37F1"/>
    <w:rsid w:val="009F43E1"/>
    <w:rsid w:val="009F4514"/>
    <w:rsid w:val="009F572D"/>
    <w:rsid w:val="009F58A0"/>
    <w:rsid w:val="009F5D92"/>
    <w:rsid w:val="009F64B7"/>
    <w:rsid w:val="00A00610"/>
    <w:rsid w:val="00A00CD4"/>
    <w:rsid w:val="00A01F56"/>
    <w:rsid w:val="00A035B2"/>
    <w:rsid w:val="00A044BB"/>
    <w:rsid w:val="00A05C1F"/>
    <w:rsid w:val="00A10261"/>
    <w:rsid w:val="00A1369C"/>
    <w:rsid w:val="00A14AE8"/>
    <w:rsid w:val="00A15323"/>
    <w:rsid w:val="00A16161"/>
    <w:rsid w:val="00A165B8"/>
    <w:rsid w:val="00A16AA6"/>
    <w:rsid w:val="00A17FD4"/>
    <w:rsid w:val="00A21155"/>
    <w:rsid w:val="00A21B7F"/>
    <w:rsid w:val="00A23E6B"/>
    <w:rsid w:val="00A2519F"/>
    <w:rsid w:val="00A2535C"/>
    <w:rsid w:val="00A25E7B"/>
    <w:rsid w:val="00A26901"/>
    <w:rsid w:val="00A27ACF"/>
    <w:rsid w:val="00A3083E"/>
    <w:rsid w:val="00A31818"/>
    <w:rsid w:val="00A33EA8"/>
    <w:rsid w:val="00A33F6C"/>
    <w:rsid w:val="00A34D3A"/>
    <w:rsid w:val="00A35C8D"/>
    <w:rsid w:val="00A3604C"/>
    <w:rsid w:val="00A36C88"/>
    <w:rsid w:val="00A40FD4"/>
    <w:rsid w:val="00A415C6"/>
    <w:rsid w:val="00A432CF"/>
    <w:rsid w:val="00A440CB"/>
    <w:rsid w:val="00A443B2"/>
    <w:rsid w:val="00A4600E"/>
    <w:rsid w:val="00A476CB"/>
    <w:rsid w:val="00A526CE"/>
    <w:rsid w:val="00A540A1"/>
    <w:rsid w:val="00A5420D"/>
    <w:rsid w:val="00A5489E"/>
    <w:rsid w:val="00A54E84"/>
    <w:rsid w:val="00A55585"/>
    <w:rsid w:val="00A5771D"/>
    <w:rsid w:val="00A57E47"/>
    <w:rsid w:val="00A6178F"/>
    <w:rsid w:val="00A6373A"/>
    <w:rsid w:val="00A6415A"/>
    <w:rsid w:val="00A6520D"/>
    <w:rsid w:val="00A65A09"/>
    <w:rsid w:val="00A66BBD"/>
    <w:rsid w:val="00A66DB5"/>
    <w:rsid w:val="00A7118A"/>
    <w:rsid w:val="00A730AE"/>
    <w:rsid w:val="00A75406"/>
    <w:rsid w:val="00A778B5"/>
    <w:rsid w:val="00A81BB1"/>
    <w:rsid w:val="00A8443E"/>
    <w:rsid w:val="00A84A55"/>
    <w:rsid w:val="00A84AF9"/>
    <w:rsid w:val="00A85ECF"/>
    <w:rsid w:val="00A87248"/>
    <w:rsid w:val="00A878D0"/>
    <w:rsid w:val="00A905D3"/>
    <w:rsid w:val="00A90FB3"/>
    <w:rsid w:val="00A916C7"/>
    <w:rsid w:val="00A925C6"/>
    <w:rsid w:val="00A94D1E"/>
    <w:rsid w:val="00A961B3"/>
    <w:rsid w:val="00A9709D"/>
    <w:rsid w:val="00AA0D25"/>
    <w:rsid w:val="00AA3975"/>
    <w:rsid w:val="00AA3E07"/>
    <w:rsid w:val="00AA545D"/>
    <w:rsid w:val="00AA5475"/>
    <w:rsid w:val="00AA5F35"/>
    <w:rsid w:val="00AA73CE"/>
    <w:rsid w:val="00AA7AE4"/>
    <w:rsid w:val="00AB0041"/>
    <w:rsid w:val="00AB18B4"/>
    <w:rsid w:val="00AB229C"/>
    <w:rsid w:val="00AB3735"/>
    <w:rsid w:val="00AB396F"/>
    <w:rsid w:val="00AB481A"/>
    <w:rsid w:val="00AB5743"/>
    <w:rsid w:val="00AB59AA"/>
    <w:rsid w:val="00AB5D46"/>
    <w:rsid w:val="00AB62FB"/>
    <w:rsid w:val="00AB6867"/>
    <w:rsid w:val="00AB7361"/>
    <w:rsid w:val="00AB7596"/>
    <w:rsid w:val="00AB76AC"/>
    <w:rsid w:val="00AB7FB1"/>
    <w:rsid w:val="00AC10CB"/>
    <w:rsid w:val="00AC251F"/>
    <w:rsid w:val="00AC3DEF"/>
    <w:rsid w:val="00AC4910"/>
    <w:rsid w:val="00AC521B"/>
    <w:rsid w:val="00AC563F"/>
    <w:rsid w:val="00AD08C5"/>
    <w:rsid w:val="00AD0950"/>
    <w:rsid w:val="00AD165F"/>
    <w:rsid w:val="00AD2A1C"/>
    <w:rsid w:val="00AD2B47"/>
    <w:rsid w:val="00AD3BF8"/>
    <w:rsid w:val="00AD723F"/>
    <w:rsid w:val="00AD7A1C"/>
    <w:rsid w:val="00AE0EDE"/>
    <w:rsid w:val="00AE30FA"/>
    <w:rsid w:val="00AE34E3"/>
    <w:rsid w:val="00AE3BFB"/>
    <w:rsid w:val="00AE3E36"/>
    <w:rsid w:val="00AE3F27"/>
    <w:rsid w:val="00AE5DE8"/>
    <w:rsid w:val="00AE672C"/>
    <w:rsid w:val="00AE6867"/>
    <w:rsid w:val="00AE7963"/>
    <w:rsid w:val="00AF35ED"/>
    <w:rsid w:val="00AF3965"/>
    <w:rsid w:val="00AF63A6"/>
    <w:rsid w:val="00AF6DDF"/>
    <w:rsid w:val="00AF7D56"/>
    <w:rsid w:val="00B02024"/>
    <w:rsid w:val="00B0222C"/>
    <w:rsid w:val="00B02732"/>
    <w:rsid w:val="00B03E7C"/>
    <w:rsid w:val="00B072FB"/>
    <w:rsid w:val="00B075EC"/>
    <w:rsid w:val="00B075FF"/>
    <w:rsid w:val="00B11316"/>
    <w:rsid w:val="00B11C7D"/>
    <w:rsid w:val="00B12078"/>
    <w:rsid w:val="00B12103"/>
    <w:rsid w:val="00B12D79"/>
    <w:rsid w:val="00B13C62"/>
    <w:rsid w:val="00B14DFB"/>
    <w:rsid w:val="00B1575D"/>
    <w:rsid w:val="00B15F20"/>
    <w:rsid w:val="00B1607A"/>
    <w:rsid w:val="00B1645A"/>
    <w:rsid w:val="00B17F57"/>
    <w:rsid w:val="00B20237"/>
    <w:rsid w:val="00B210C5"/>
    <w:rsid w:val="00B2195F"/>
    <w:rsid w:val="00B234C7"/>
    <w:rsid w:val="00B25B37"/>
    <w:rsid w:val="00B25DBA"/>
    <w:rsid w:val="00B267E4"/>
    <w:rsid w:val="00B30F56"/>
    <w:rsid w:val="00B31797"/>
    <w:rsid w:val="00B31B13"/>
    <w:rsid w:val="00B3308B"/>
    <w:rsid w:val="00B333A6"/>
    <w:rsid w:val="00B33B22"/>
    <w:rsid w:val="00B3513A"/>
    <w:rsid w:val="00B36FF3"/>
    <w:rsid w:val="00B37264"/>
    <w:rsid w:val="00B4029A"/>
    <w:rsid w:val="00B4197B"/>
    <w:rsid w:val="00B42388"/>
    <w:rsid w:val="00B43FAF"/>
    <w:rsid w:val="00B44119"/>
    <w:rsid w:val="00B46E6A"/>
    <w:rsid w:val="00B47556"/>
    <w:rsid w:val="00B51A9F"/>
    <w:rsid w:val="00B51BDE"/>
    <w:rsid w:val="00B526D5"/>
    <w:rsid w:val="00B52D56"/>
    <w:rsid w:val="00B54C68"/>
    <w:rsid w:val="00B56210"/>
    <w:rsid w:val="00B57D08"/>
    <w:rsid w:val="00B611CE"/>
    <w:rsid w:val="00B61799"/>
    <w:rsid w:val="00B62B19"/>
    <w:rsid w:val="00B6323E"/>
    <w:rsid w:val="00B642D0"/>
    <w:rsid w:val="00B67AA4"/>
    <w:rsid w:val="00B71C12"/>
    <w:rsid w:val="00B72302"/>
    <w:rsid w:val="00B7242F"/>
    <w:rsid w:val="00B76209"/>
    <w:rsid w:val="00B769AF"/>
    <w:rsid w:val="00B802B8"/>
    <w:rsid w:val="00B80806"/>
    <w:rsid w:val="00B808A4"/>
    <w:rsid w:val="00B80D0B"/>
    <w:rsid w:val="00B80EFD"/>
    <w:rsid w:val="00B812C2"/>
    <w:rsid w:val="00B813CA"/>
    <w:rsid w:val="00B83164"/>
    <w:rsid w:val="00B862AA"/>
    <w:rsid w:val="00B86A79"/>
    <w:rsid w:val="00B87691"/>
    <w:rsid w:val="00B87F3B"/>
    <w:rsid w:val="00B90A23"/>
    <w:rsid w:val="00B90E97"/>
    <w:rsid w:val="00B919FB"/>
    <w:rsid w:val="00B92771"/>
    <w:rsid w:val="00B93C7A"/>
    <w:rsid w:val="00B9480B"/>
    <w:rsid w:val="00B96C46"/>
    <w:rsid w:val="00B96F25"/>
    <w:rsid w:val="00BA05FA"/>
    <w:rsid w:val="00BA08C3"/>
    <w:rsid w:val="00BA1EF6"/>
    <w:rsid w:val="00BA303D"/>
    <w:rsid w:val="00BA548A"/>
    <w:rsid w:val="00BB02AE"/>
    <w:rsid w:val="00BB1248"/>
    <w:rsid w:val="00BB1C61"/>
    <w:rsid w:val="00BB2EED"/>
    <w:rsid w:val="00BB42DF"/>
    <w:rsid w:val="00BB4C4B"/>
    <w:rsid w:val="00BB4F5A"/>
    <w:rsid w:val="00BB5FEA"/>
    <w:rsid w:val="00BC0068"/>
    <w:rsid w:val="00BC0B4E"/>
    <w:rsid w:val="00BC2CF6"/>
    <w:rsid w:val="00BC3BFA"/>
    <w:rsid w:val="00BC5216"/>
    <w:rsid w:val="00BC6A11"/>
    <w:rsid w:val="00BC6B1D"/>
    <w:rsid w:val="00BC7D8A"/>
    <w:rsid w:val="00BC7EFF"/>
    <w:rsid w:val="00BD11EB"/>
    <w:rsid w:val="00BD18E6"/>
    <w:rsid w:val="00BD1B57"/>
    <w:rsid w:val="00BD281D"/>
    <w:rsid w:val="00BD33D2"/>
    <w:rsid w:val="00BD3451"/>
    <w:rsid w:val="00BD38AD"/>
    <w:rsid w:val="00BD4C96"/>
    <w:rsid w:val="00BD6DEB"/>
    <w:rsid w:val="00BD76AD"/>
    <w:rsid w:val="00BD7E44"/>
    <w:rsid w:val="00BE010B"/>
    <w:rsid w:val="00BE01D2"/>
    <w:rsid w:val="00BE031C"/>
    <w:rsid w:val="00BE0791"/>
    <w:rsid w:val="00BE097B"/>
    <w:rsid w:val="00BE3267"/>
    <w:rsid w:val="00BE3C45"/>
    <w:rsid w:val="00BE3E28"/>
    <w:rsid w:val="00BE3E57"/>
    <w:rsid w:val="00BE4A71"/>
    <w:rsid w:val="00BE4FED"/>
    <w:rsid w:val="00BE6F5A"/>
    <w:rsid w:val="00BE76CC"/>
    <w:rsid w:val="00BE76FB"/>
    <w:rsid w:val="00BE7BBC"/>
    <w:rsid w:val="00BE7DDF"/>
    <w:rsid w:val="00BF0140"/>
    <w:rsid w:val="00BF01A6"/>
    <w:rsid w:val="00BF05AA"/>
    <w:rsid w:val="00BF1F77"/>
    <w:rsid w:val="00BF37D1"/>
    <w:rsid w:val="00BF4446"/>
    <w:rsid w:val="00BF4D29"/>
    <w:rsid w:val="00BF5AFC"/>
    <w:rsid w:val="00C04489"/>
    <w:rsid w:val="00C051BC"/>
    <w:rsid w:val="00C071F1"/>
    <w:rsid w:val="00C07D42"/>
    <w:rsid w:val="00C13648"/>
    <w:rsid w:val="00C14E2D"/>
    <w:rsid w:val="00C14F01"/>
    <w:rsid w:val="00C21119"/>
    <w:rsid w:val="00C21E03"/>
    <w:rsid w:val="00C22BB6"/>
    <w:rsid w:val="00C23167"/>
    <w:rsid w:val="00C2378E"/>
    <w:rsid w:val="00C238C1"/>
    <w:rsid w:val="00C23DC2"/>
    <w:rsid w:val="00C247C9"/>
    <w:rsid w:val="00C25800"/>
    <w:rsid w:val="00C26257"/>
    <w:rsid w:val="00C265AC"/>
    <w:rsid w:val="00C30145"/>
    <w:rsid w:val="00C31991"/>
    <w:rsid w:val="00C31C3B"/>
    <w:rsid w:val="00C31E9B"/>
    <w:rsid w:val="00C32BC0"/>
    <w:rsid w:val="00C335AC"/>
    <w:rsid w:val="00C34434"/>
    <w:rsid w:val="00C352AC"/>
    <w:rsid w:val="00C352E3"/>
    <w:rsid w:val="00C37B55"/>
    <w:rsid w:val="00C402F7"/>
    <w:rsid w:val="00C41B8D"/>
    <w:rsid w:val="00C41E46"/>
    <w:rsid w:val="00C44C60"/>
    <w:rsid w:val="00C4579E"/>
    <w:rsid w:val="00C4587E"/>
    <w:rsid w:val="00C46AE7"/>
    <w:rsid w:val="00C46B42"/>
    <w:rsid w:val="00C472A3"/>
    <w:rsid w:val="00C50F57"/>
    <w:rsid w:val="00C51977"/>
    <w:rsid w:val="00C52E6B"/>
    <w:rsid w:val="00C5452D"/>
    <w:rsid w:val="00C54DD9"/>
    <w:rsid w:val="00C551EB"/>
    <w:rsid w:val="00C55DE7"/>
    <w:rsid w:val="00C56083"/>
    <w:rsid w:val="00C562A8"/>
    <w:rsid w:val="00C57157"/>
    <w:rsid w:val="00C6021D"/>
    <w:rsid w:val="00C641DF"/>
    <w:rsid w:val="00C644E8"/>
    <w:rsid w:val="00C65984"/>
    <w:rsid w:val="00C667C0"/>
    <w:rsid w:val="00C66857"/>
    <w:rsid w:val="00C66B93"/>
    <w:rsid w:val="00C70641"/>
    <w:rsid w:val="00C72DBC"/>
    <w:rsid w:val="00C73C42"/>
    <w:rsid w:val="00C7492F"/>
    <w:rsid w:val="00C75175"/>
    <w:rsid w:val="00C7599E"/>
    <w:rsid w:val="00C75D0C"/>
    <w:rsid w:val="00C801C4"/>
    <w:rsid w:val="00C81A9C"/>
    <w:rsid w:val="00C8220E"/>
    <w:rsid w:val="00C838D9"/>
    <w:rsid w:val="00C83A34"/>
    <w:rsid w:val="00C855C0"/>
    <w:rsid w:val="00C86C30"/>
    <w:rsid w:val="00C86CCE"/>
    <w:rsid w:val="00C875F0"/>
    <w:rsid w:val="00C87CA6"/>
    <w:rsid w:val="00C91702"/>
    <w:rsid w:val="00C92A1A"/>
    <w:rsid w:val="00C92EC0"/>
    <w:rsid w:val="00C9510F"/>
    <w:rsid w:val="00C9525F"/>
    <w:rsid w:val="00C956F1"/>
    <w:rsid w:val="00C95D2B"/>
    <w:rsid w:val="00C96A23"/>
    <w:rsid w:val="00C97871"/>
    <w:rsid w:val="00CA0B6F"/>
    <w:rsid w:val="00CA0E0B"/>
    <w:rsid w:val="00CA10CD"/>
    <w:rsid w:val="00CA19BA"/>
    <w:rsid w:val="00CA2B56"/>
    <w:rsid w:val="00CA470B"/>
    <w:rsid w:val="00CA58F8"/>
    <w:rsid w:val="00CA645E"/>
    <w:rsid w:val="00CB06ED"/>
    <w:rsid w:val="00CB0CD5"/>
    <w:rsid w:val="00CB11ED"/>
    <w:rsid w:val="00CB198B"/>
    <w:rsid w:val="00CB1BFF"/>
    <w:rsid w:val="00CB1F3C"/>
    <w:rsid w:val="00CB3B3B"/>
    <w:rsid w:val="00CB499B"/>
    <w:rsid w:val="00CB55C9"/>
    <w:rsid w:val="00CB56AA"/>
    <w:rsid w:val="00CB7301"/>
    <w:rsid w:val="00CB7D5E"/>
    <w:rsid w:val="00CC0188"/>
    <w:rsid w:val="00CC0675"/>
    <w:rsid w:val="00CC084B"/>
    <w:rsid w:val="00CC1F9B"/>
    <w:rsid w:val="00CC3905"/>
    <w:rsid w:val="00CC6499"/>
    <w:rsid w:val="00CC7D64"/>
    <w:rsid w:val="00CC7EBE"/>
    <w:rsid w:val="00CD141B"/>
    <w:rsid w:val="00CD1795"/>
    <w:rsid w:val="00CD1DFF"/>
    <w:rsid w:val="00CD3091"/>
    <w:rsid w:val="00CD3D5A"/>
    <w:rsid w:val="00CD42E6"/>
    <w:rsid w:val="00CD4B38"/>
    <w:rsid w:val="00CD4C22"/>
    <w:rsid w:val="00CD4DB0"/>
    <w:rsid w:val="00CD4DD3"/>
    <w:rsid w:val="00CD5784"/>
    <w:rsid w:val="00CD7A82"/>
    <w:rsid w:val="00CE1856"/>
    <w:rsid w:val="00CE3351"/>
    <w:rsid w:val="00CE47E4"/>
    <w:rsid w:val="00CE5151"/>
    <w:rsid w:val="00CE57A1"/>
    <w:rsid w:val="00CF0563"/>
    <w:rsid w:val="00CF2245"/>
    <w:rsid w:val="00CF302E"/>
    <w:rsid w:val="00CF44A2"/>
    <w:rsid w:val="00CF50DA"/>
    <w:rsid w:val="00CF5C90"/>
    <w:rsid w:val="00CF60E6"/>
    <w:rsid w:val="00CF6603"/>
    <w:rsid w:val="00CF7344"/>
    <w:rsid w:val="00CF7468"/>
    <w:rsid w:val="00CF754A"/>
    <w:rsid w:val="00D00887"/>
    <w:rsid w:val="00D0193B"/>
    <w:rsid w:val="00D01FDB"/>
    <w:rsid w:val="00D0253E"/>
    <w:rsid w:val="00D03428"/>
    <w:rsid w:val="00D03867"/>
    <w:rsid w:val="00D04261"/>
    <w:rsid w:val="00D11700"/>
    <w:rsid w:val="00D11AAC"/>
    <w:rsid w:val="00D11FB9"/>
    <w:rsid w:val="00D1479F"/>
    <w:rsid w:val="00D14CFA"/>
    <w:rsid w:val="00D16978"/>
    <w:rsid w:val="00D17653"/>
    <w:rsid w:val="00D17C46"/>
    <w:rsid w:val="00D21CC4"/>
    <w:rsid w:val="00D242E3"/>
    <w:rsid w:val="00D243E1"/>
    <w:rsid w:val="00D24527"/>
    <w:rsid w:val="00D24BBA"/>
    <w:rsid w:val="00D279BC"/>
    <w:rsid w:val="00D27D02"/>
    <w:rsid w:val="00D27E5A"/>
    <w:rsid w:val="00D308AE"/>
    <w:rsid w:val="00D31427"/>
    <w:rsid w:val="00D318F8"/>
    <w:rsid w:val="00D32799"/>
    <w:rsid w:val="00D3348E"/>
    <w:rsid w:val="00D33C99"/>
    <w:rsid w:val="00D3538B"/>
    <w:rsid w:val="00D35A63"/>
    <w:rsid w:val="00D36523"/>
    <w:rsid w:val="00D36D2B"/>
    <w:rsid w:val="00D40252"/>
    <w:rsid w:val="00D403C6"/>
    <w:rsid w:val="00D40865"/>
    <w:rsid w:val="00D40D04"/>
    <w:rsid w:val="00D41C03"/>
    <w:rsid w:val="00D41DE5"/>
    <w:rsid w:val="00D41E21"/>
    <w:rsid w:val="00D43873"/>
    <w:rsid w:val="00D4646D"/>
    <w:rsid w:val="00D47B3E"/>
    <w:rsid w:val="00D50074"/>
    <w:rsid w:val="00D50870"/>
    <w:rsid w:val="00D508FB"/>
    <w:rsid w:val="00D50A71"/>
    <w:rsid w:val="00D50AEB"/>
    <w:rsid w:val="00D51037"/>
    <w:rsid w:val="00D51480"/>
    <w:rsid w:val="00D53900"/>
    <w:rsid w:val="00D54F78"/>
    <w:rsid w:val="00D55371"/>
    <w:rsid w:val="00D55E0D"/>
    <w:rsid w:val="00D560D7"/>
    <w:rsid w:val="00D563E8"/>
    <w:rsid w:val="00D60E11"/>
    <w:rsid w:val="00D610A7"/>
    <w:rsid w:val="00D626D4"/>
    <w:rsid w:val="00D6313B"/>
    <w:rsid w:val="00D6536F"/>
    <w:rsid w:val="00D6636E"/>
    <w:rsid w:val="00D67546"/>
    <w:rsid w:val="00D716F7"/>
    <w:rsid w:val="00D71C69"/>
    <w:rsid w:val="00D73022"/>
    <w:rsid w:val="00D73887"/>
    <w:rsid w:val="00D744CA"/>
    <w:rsid w:val="00D74CAD"/>
    <w:rsid w:val="00D75563"/>
    <w:rsid w:val="00D75E19"/>
    <w:rsid w:val="00D76EDB"/>
    <w:rsid w:val="00D773CF"/>
    <w:rsid w:val="00D81D78"/>
    <w:rsid w:val="00D83AC9"/>
    <w:rsid w:val="00D83BC8"/>
    <w:rsid w:val="00D841CD"/>
    <w:rsid w:val="00D86060"/>
    <w:rsid w:val="00D865AC"/>
    <w:rsid w:val="00D876AF"/>
    <w:rsid w:val="00D90024"/>
    <w:rsid w:val="00D9020F"/>
    <w:rsid w:val="00D92111"/>
    <w:rsid w:val="00D932E2"/>
    <w:rsid w:val="00D9379F"/>
    <w:rsid w:val="00D93CB6"/>
    <w:rsid w:val="00D941E4"/>
    <w:rsid w:val="00D97598"/>
    <w:rsid w:val="00D97AB7"/>
    <w:rsid w:val="00DA01F6"/>
    <w:rsid w:val="00DA05E9"/>
    <w:rsid w:val="00DA08CF"/>
    <w:rsid w:val="00DA0CBB"/>
    <w:rsid w:val="00DA1C8E"/>
    <w:rsid w:val="00DA6583"/>
    <w:rsid w:val="00DA65FF"/>
    <w:rsid w:val="00DA7BC8"/>
    <w:rsid w:val="00DB01F4"/>
    <w:rsid w:val="00DB10E6"/>
    <w:rsid w:val="00DB116F"/>
    <w:rsid w:val="00DB23A5"/>
    <w:rsid w:val="00DB25A3"/>
    <w:rsid w:val="00DB2A4B"/>
    <w:rsid w:val="00DB35D9"/>
    <w:rsid w:val="00DB3E50"/>
    <w:rsid w:val="00DB4A14"/>
    <w:rsid w:val="00DB729A"/>
    <w:rsid w:val="00DB7B37"/>
    <w:rsid w:val="00DB7C7D"/>
    <w:rsid w:val="00DC2560"/>
    <w:rsid w:val="00DC3D0D"/>
    <w:rsid w:val="00DC772F"/>
    <w:rsid w:val="00DD0E4D"/>
    <w:rsid w:val="00DD15D3"/>
    <w:rsid w:val="00DD2D78"/>
    <w:rsid w:val="00DD4F31"/>
    <w:rsid w:val="00DD57D9"/>
    <w:rsid w:val="00DD6609"/>
    <w:rsid w:val="00DD6964"/>
    <w:rsid w:val="00DD6F8A"/>
    <w:rsid w:val="00DD71D3"/>
    <w:rsid w:val="00DE0302"/>
    <w:rsid w:val="00DE03BA"/>
    <w:rsid w:val="00DE1439"/>
    <w:rsid w:val="00DE1A45"/>
    <w:rsid w:val="00DE2447"/>
    <w:rsid w:val="00DE3B55"/>
    <w:rsid w:val="00DE3BFF"/>
    <w:rsid w:val="00DE565C"/>
    <w:rsid w:val="00DE6F38"/>
    <w:rsid w:val="00DE7C5C"/>
    <w:rsid w:val="00DF16A8"/>
    <w:rsid w:val="00DF39AF"/>
    <w:rsid w:val="00DF4A19"/>
    <w:rsid w:val="00DF5D80"/>
    <w:rsid w:val="00DF7288"/>
    <w:rsid w:val="00E00433"/>
    <w:rsid w:val="00E0157B"/>
    <w:rsid w:val="00E01654"/>
    <w:rsid w:val="00E02AAD"/>
    <w:rsid w:val="00E036FB"/>
    <w:rsid w:val="00E03F4B"/>
    <w:rsid w:val="00E046DD"/>
    <w:rsid w:val="00E048CE"/>
    <w:rsid w:val="00E06DA5"/>
    <w:rsid w:val="00E0777C"/>
    <w:rsid w:val="00E126ED"/>
    <w:rsid w:val="00E144A3"/>
    <w:rsid w:val="00E147E3"/>
    <w:rsid w:val="00E14C24"/>
    <w:rsid w:val="00E14EF6"/>
    <w:rsid w:val="00E1591D"/>
    <w:rsid w:val="00E16770"/>
    <w:rsid w:val="00E16FE3"/>
    <w:rsid w:val="00E1722E"/>
    <w:rsid w:val="00E17318"/>
    <w:rsid w:val="00E219C8"/>
    <w:rsid w:val="00E2240D"/>
    <w:rsid w:val="00E24183"/>
    <w:rsid w:val="00E26203"/>
    <w:rsid w:val="00E2744F"/>
    <w:rsid w:val="00E302BE"/>
    <w:rsid w:val="00E309FB"/>
    <w:rsid w:val="00E316D7"/>
    <w:rsid w:val="00E33835"/>
    <w:rsid w:val="00E35087"/>
    <w:rsid w:val="00E35A97"/>
    <w:rsid w:val="00E35C2D"/>
    <w:rsid w:val="00E366FC"/>
    <w:rsid w:val="00E3790D"/>
    <w:rsid w:val="00E416B0"/>
    <w:rsid w:val="00E41755"/>
    <w:rsid w:val="00E41799"/>
    <w:rsid w:val="00E41C07"/>
    <w:rsid w:val="00E42CAF"/>
    <w:rsid w:val="00E439CE"/>
    <w:rsid w:val="00E43EBA"/>
    <w:rsid w:val="00E43F48"/>
    <w:rsid w:val="00E44192"/>
    <w:rsid w:val="00E44731"/>
    <w:rsid w:val="00E44A93"/>
    <w:rsid w:val="00E46437"/>
    <w:rsid w:val="00E4651B"/>
    <w:rsid w:val="00E469C0"/>
    <w:rsid w:val="00E47096"/>
    <w:rsid w:val="00E50826"/>
    <w:rsid w:val="00E52145"/>
    <w:rsid w:val="00E52A95"/>
    <w:rsid w:val="00E52CD8"/>
    <w:rsid w:val="00E532FF"/>
    <w:rsid w:val="00E5502D"/>
    <w:rsid w:val="00E55436"/>
    <w:rsid w:val="00E55FFD"/>
    <w:rsid w:val="00E566D6"/>
    <w:rsid w:val="00E60DC9"/>
    <w:rsid w:val="00E62500"/>
    <w:rsid w:val="00E66A26"/>
    <w:rsid w:val="00E66C0A"/>
    <w:rsid w:val="00E70C2E"/>
    <w:rsid w:val="00E71088"/>
    <w:rsid w:val="00E71601"/>
    <w:rsid w:val="00E71756"/>
    <w:rsid w:val="00E72252"/>
    <w:rsid w:val="00E76A45"/>
    <w:rsid w:val="00E77A9D"/>
    <w:rsid w:val="00E80E4A"/>
    <w:rsid w:val="00E821C8"/>
    <w:rsid w:val="00E8260B"/>
    <w:rsid w:val="00E83D7E"/>
    <w:rsid w:val="00E848AF"/>
    <w:rsid w:val="00E86FF2"/>
    <w:rsid w:val="00E8770B"/>
    <w:rsid w:val="00E91042"/>
    <w:rsid w:val="00E91F87"/>
    <w:rsid w:val="00E92CB0"/>
    <w:rsid w:val="00E95F6A"/>
    <w:rsid w:val="00E978F3"/>
    <w:rsid w:val="00E97DED"/>
    <w:rsid w:val="00E97E61"/>
    <w:rsid w:val="00EA17F1"/>
    <w:rsid w:val="00EA1A85"/>
    <w:rsid w:val="00EA1F96"/>
    <w:rsid w:val="00EA303B"/>
    <w:rsid w:val="00EA304D"/>
    <w:rsid w:val="00EA3837"/>
    <w:rsid w:val="00EA3E54"/>
    <w:rsid w:val="00EA41EA"/>
    <w:rsid w:val="00EA60EB"/>
    <w:rsid w:val="00EA6F9C"/>
    <w:rsid w:val="00EB1A83"/>
    <w:rsid w:val="00EB244E"/>
    <w:rsid w:val="00EB3041"/>
    <w:rsid w:val="00EB3239"/>
    <w:rsid w:val="00EB3FB2"/>
    <w:rsid w:val="00EB45C1"/>
    <w:rsid w:val="00EB4728"/>
    <w:rsid w:val="00EB4868"/>
    <w:rsid w:val="00EB4975"/>
    <w:rsid w:val="00EB7DF2"/>
    <w:rsid w:val="00EC175E"/>
    <w:rsid w:val="00EC1FA6"/>
    <w:rsid w:val="00EC219E"/>
    <w:rsid w:val="00EC284B"/>
    <w:rsid w:val="00EC37F3"/>
    <w:rsid w:val="00EC4578"/>
    <w:rsid w:val="00EC4985"/>
    <w:rsid w:val="00EC5210"/>
    <w:rsid w:val="00EC6239"/>
    <w:rsid w:val="00EC62CC"/>
    <w:rsid w:val="00EC75B2"/>
    <w:rsid w:val="00EC7BAA"/>
    <w:rsid w:val="00EC7DA8"/>
    <w:rsid w:val="00ED4353"/>
    <w:rsid w:val="00ED4615"/>
    <w:rsid w:val="00ED53B3"/>
    <w:rsid w:val="00ED5E74"/>
    <w:rsid w:val="00ED71BD"/>
    <w:rsid w:val="00EE097E"/>
    <w:rsid w:val="00EE0EB3"/>
    <w:rsid w:val="00EE2B2E"/>
    <w:rsid w:val="00EE3147"/>
    <w:rsid w:val="00EE38A1"/>
    <w:rsid w:val="00EE5DAD"/>
    <w:rsid w:val="00EE6249"/>
    <w:rsid w:val="00EE7282"/>
    <w:rsid w:val="00EF0DE7"/>
    <w:rsid w:val="00EF25EA"/>
    <w:rsid w:val="00EF5277"/>
    <w:rsid w:val="00EF59B4"/>
    <w:rsid w:val="00EF5E93"/>
    <w:rsid w:val="00EF7B82"/>
    <w:rsid w:val="00EF7CAC"/>
    <w:rsid w:val="00F0201D"/>
    <w:rsid w:val="00F02748"/>
    <w:rsid w:val="00F05157"/>
    <w:rsid w:val="00F05574"/>
    <w:rsid w:val="00F061FC"/>
    <w:rsid w:val="00F06EC6"/>
    <w:rsid w:val="00F06EEE"/>
    <w:rsid w:val="00F10D61"/>
    <w:rsid w:val="00F11040"/>
    <w:rsid w:val="00F110A5"/>
    <w:rsid w:val="00F12ABE"/>
    <w:rsid w:val="00F13AFE"/>
    <w:rsid w:val="00F14F23"/>
    <w:rsid w:val="00F15446"/>
    <w:rsid w:val="00F155BC"/>
    <w:rsid w:val="00F2002E"/>
    <w:rsid w:val="00F20A93"/>
    <w:rsid w:val="00F21CF1"/>
    <w:rsid w:val="00F24AAA"/>
    <w:rsid w:val="00F24DED"/>
    <w:rsid w:val="00F24DFD"/>
    <w:rsid w:val="00F255D3"/>
    <w:rsid w:val="00F256F3"/>
    <w:rsid w:val="00F26D00"/>
    <w:rsid w:val="00F276F5"/>
    <w:rsid w:val="00F27BEA"/>
    <w:rsid w:val="00F27DA9"/>
    <w:rsid w:val="00F3121B"/>
    <w:rsid w:val="00F342DC"/>
    <w:rsid w:val="00F355BD"/>
    <w:rsid w:val="00F35F6A"/>
    <w:rsid w:val="00F36B74"/>
    <w:rsid w:val="00F36D36"/>
    <w:rsid w:val="00F36EF1"/>
    <w:rsid w:val="00F3729E"/>
    <w:rsid w:val="00F412A0"/>
    <w:rsid w:val="00F413FA"/>
    <w:rsid w:val="00F41F67"/>
    <w:rsid w:val="00F42580"/>
    <w:rsid w:val="00F428D4"/>
    <w:rsid w:val="00F4296A"/>
    <w:rsid w:val="00F431CE"/>
    <w:rsid w:val="00F46266"/>
    <w:rsid w:val="00F500A2"/>
    <w:rsid w:val="00F51588"/>
    <w:rsid w:val="00F52AE4"/>
    <w:rsid w:val="00F53CDA"/>
    <w:rsid w:val="00F54361"/>
    <w:rsid w:val="00F5491F"/>
    <w:rsid w:val="00F5544F"/>
    <w:rsid w:val="00F554FE"/>
    <w:rsid w:val="00F56259"/>
    <w:rsid w:val="00F573E5"/>
    <w:rsid w:val="00F57526"/>
    <w:rsid w:val="00F579AC"/>
    <w:rsid w:val="00F57EDB"/>
    <w:rsid w:val="00F60008"/>
    <w:rsid w:val="00F612A3"/>
    <w:rsid w:val="00F6184E"/>
    <w:rsid w:val="00F62235"/>
    <w:rsid w:val="00F62DC5"/>
    <w:rsid w:val="00F630D2"/>
    <w:rsid w:val="00F63521"/>
    <w:rsid w:val="00F63A83"/>
    <w:rsid w:val="00F63FD6"/>
    <w:rsid w:val="00F64644"/>
    <w:rsid w:val="00F653EA"/>
    <w:rsid w:val="00F6567D"/>
    <w:rsid w:val="00F65FE4"/>
    <w:rsid w:val="00F65FFF"/>
    <w:rsid w:val="00F674CD"/>
    <w:rsid w:val="00F71263"/>
    <w:rsid w:val="00F71877"/>
    <w:rsid w:val="00F731E2"/>
    <w:rsid w:val="00F73E6B"/>
    <w:rsid w:val="00F74CA0"/>
    <w:rsid w:val="00F752C2"/>
    <w:rsid w:val="00F75F9E"/>
    <w:rsid w:val="00F769D3"/>
    <w:rsid w:val="00F77951"/>
    <w:rsid w:val="00F821C7"/>
    <w:rsid w:val="00F823CB"/>
    <w:rsid w:val="00F840AA"/>
    <w:rsid w:val="00F840B7"/>
    <w:rsid w:val="00F84466"/>
    <w:rsid w:val="00F8561E"/>
    <w:rsid w:val="00F86F78"/>
    <w:rsid w:val="00F93900"/>
    <w:rsid w:val="00F93CE4"/>
    <w:rsid w:val="00F9443F"/>
    <w:rsid w:val="00F944EC"/>
    <w:rsid w:val="00F95007"/>
    <w:rsid w:val="00F9567A"/>
    <w:rsid w:val="00F95A06"/>
    <w:rsid w:val="00F962BD"/>
    <w:rsid w:val="00F96646"/>
    <w:rsid w:val="00F96B77"/>
    <w:rsid w:val="00F97768"/>
    <w:rsid w:val="00FA282C"/>
    <w:rsid w:val="00FA2E8B"/>
    <w:rsid w:val="00FA3102"/>
    <w:rsid w:val="00FA3483"/>
    <w:rsid w:val="00FA43E0"/>
    <w:rsid w:val="00FA474D"/>
    <w:rsid w:val="00FA5638"/>
    <w:rsid w:val="00FB0369"/>
    <w:rsid w:val="00FB0F7E"/>
    <w:rsid w:val="00FB1D46"/>
    <w:rsid w:val="00FB37FE"/>
    <w:rsid w:val="00FB4601"/>
    <w:rsid w:val="00FB4963"/>
    <w:rsid w:val="00FB56C5"/>
    <w:rsid w:val="00FB768F"/>
    <w:rsid w:val="00FB7BE1"/>
    <w:rsid w:val="00FB7D65"/>
    <w:rsid w:val="00FC1C51"/>
    <w:rsid w:val="00FC27E0"/>
    <w:rsid w:val="00FC2E8B"/>
    <w:rsid w:val="00FC3B6D"/>
    <w:rsid w:val="00FC4915"/>
    <w:rsid w:val="00FC4A1D"/>
    <w:rsid w:val="00FC4C94"/>
    <w:rsid w:val="00FC4F53"/>
    <w:rsid w:val="00FC6223"/>
    <w:rsid w:val="00FC63D6"/>
    <w:rsid w:val="00FD14D2"/>
    <w:rsid w:val="00FD305E"/>
    <w:rsid w:val="00FD437A"/>
    <w:rsid w:val="00FD4BDB"/>
    <w:rsid w:val="00FD5AE5"/>
    <w:rsid w:val="00FD5D6F"/>
    <w:rsid w:val="00FD66B4"/>
    <w:rsid w:val="00FD75C7"/>
    <w:rsid w:val="00FE1B82"/>
    <w:rsid w:val="00FE5755"/>
    <w:rsid w:val="00FE5CF7"/>
    <w:rsid w:val="00FE5F65"/>
    <w:rsid w:val="00FE6CE1"/>
    <w:rsid w:val="00FE7DA8"/>
    <w:rsid w:val="00FF06B2"/>
    <w:rsid w:val="00FF301B"/>
    <w:rsid w:val="00FF3B66"/>
    <w:rsid w:val="00FF5495"/>
    <w:rsid w:val="00FF5BBC"/>
    <w:rsid w:val="00FF5DAF"/>
    <w:rsid w:val="00FF72B3"/>
    <w:rsid w:val="00FF769E"/>
    <w:rsid w:val="00FF7E4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36F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2C4"/>
    <w:pPr>
      <w:spacing w:after="100" w:afterAutospacing="1" w:line="276" w:lineRule="auto"/>
      <w:jc w:val="both"/>
    </w:pPr>
    <w:rPr>
      <w:rFonts w:ascii="Calibri" w:hAnsi="Calibri"/>
      <w:lang w:val="en-GB"/>
    </w:rPr>
  </w:style>
  <w:style w:type="paragraph" w:styleId="Ttulo1">
    <w:name w:val="heading 1"/>
    <w:basedOn w:val="Normal"/>
    <w:next w:val="Normal"/>
    <w:link w:val="Ttulo1Car"/>
    <w:uiPriority w:val="9"/>
    <w:qFormat/>
    <w:rsid w:val="00153C4A"/>
    <w:pPr>
      <w:keepNext/>
      <w:keepLines/>
      <w:numPr>
        <w:numId w:val="1"/>
      </w:numPr>
      <w:spacing w:before="120"/>
      <w:outlineLvl w:val="0"/>
    </w:pPr>
    <w:rPr>
      <w:rFonts w:eastAsiaTheme="majorEastAsia" w:cs="Times New Roman"/>
      <w:b/>
      <w:bCs/>
      <w:sz w:val="28"/>
      <w:szCs w:val="28"/>
    </w:rPr>
  </w:style>
  <w:style w:type="paragraph" w:styleId="Ttulo2">
    <w:name w:val="heading 2"/>
    <w:basedOn w:val="Normal"/>
    <w:next w:val="Normal"/>
    <w:link w:val="Ttulo2Car"/>
    <w:uiPriority w:val="9"/>
    <w:unhideWhenUsed/>
    <w:qFormat/>
    <w:rsid w:val="00153C4A"/>
    <w:pPr>
      <w:keepNext/>
      <w:keepLines/>
      <w:numPr>
        <w:ilvl w:val="1"/>
        <w:numId w:val="1"/>
      </w:numPr>
      <w:outlineLvl w:val="1"/>
    </w:pPr>
    <w:rPr>
      <w:rFonts w:eastAsiaTheme="majorEastAsia" w:cs="Times New Roman"/>
      <w:b/>
      <w:bCs/>
      <w:szCs w:val="24"/>
    </w:rPr>
  </w:style>
  <w:style w:type="paragraph" w:styleId="Ttulo3">
    <w:name w:val="heading 3"/>
    <w:basedOn w:val="Normal"/>
    <w:next w:val="Normal"/>
    <w:link w:val="Ttulo3Car"/>
    <w:uiPriority w:val="9"/>
    <w:unhideWhenUsed/>
    <w:qFormat/>
    <w:rsid w:val="00153C4A"/>
    <w:pPr>
      <w:keepNext/>
      <w:keepLines/>
      <w:numPr>
        <w:ilvl w:val="2"/>
        <w:numId w:val="1"/>
      </w:numPr>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153C4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153C4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53C4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53C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53C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53C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C4A"/>
    <w:rPr>
      <w:rFonts w:ascii="Times New Roman" w:eastAsiaTheme="majorEastAsia" w:hAnsi="Times New Roman" w:cs="Times New Roman"/>
      <w:b/>
      <w:bCs/>
      <w:sz w:val="28"/>
      <w:szCs w:val="28"/>
      <w:lang w:val="en-GB"/>
    </w:rPr>
  </w:style>
  <w:style w:type="character" w:customStyle="1" w:styleId="Ttulo2Car">
    <w:name w:val="Título 2 Car"/>
    <w:basedOn w:val="Fuentedeprrafopredeter"/>
    <w:link w:val="Ttulo2"/>
    <w:uiPriority w:val="9"/>
    <w:rsid w:val="00153C4A"/>
    <w:rPr>
      <w:rFonts w:ascii="Times New Roman" w:eastAsiaTheme="majorEastAsia" w:hAnsi="Times New Roman" w:cs="Times New Roman"/>
      <w:b/>
      <w:bCs/>
      <w:sz w:val="24"/>
      <w:szCs w:val="24"/>
      <w:lang w:val="en-GB"/>
    </w:rPr>
  </w:style>
  <w:style w:type="character" w:customStyle="1" w:styleId="Ttulo3Car">
    <w:name w:val="Título 3 Car"/>
    <w:basedOn w:val="Fuentedeprrafopredeter"/>
    <w:link w:val="Ttulo3"/>
    <w:uiPriority w:val="9"/>
    <w:rsid w:val="00153C4A"/>
    <w:rPr>
      <w:rFonts w:ascii="Times New Roman" w:eastAsiaTheme="majorEastAsia" w:hAnsi="Times New Roman" w:cstheme="majorBidi"/>
      <w:b/>
      <w:bCs/>
      <w:sz w:val="24"/>
      <w:lang w:val="en-GB"/>
    </w:rPr>
  </w:style>
  <w:style w:type="character" w:customStyle="1" w:styleId="Ttulo4Car">
    <w:name w:val="Título 4 Car"/>
    <w:basedOn w:val="Fuentedeprrafopredeter"/>
    <w:link w:val="Ttulo4"/>
    <w:uiPriority w:val="9"/>
    <w:semiHidden/>
    <w:rsid w:val="00153C4A"/>
    <w:rPr>
      <w:rFonts w:asciiTheme="majorHAnsi" w:eastAsiaTheme="majorEastAsia" w:hAnsiTheme="majorHAnsi" w:cstheme="majorBidi"/>
      <w:b/>
      <w:bCs/>
      <w:i/>
      <w:iCs/>
      <w:color w:val="5B9BD5" w:themeColor="accent1"/>
      <w:sz w:val="24"/>
      <w:lang w:val="en-GB"/>
    </w:rPr>
  </w:style>
  <w:style w:type="character" w:customStyle="1" w:styleId="Ttulo5Car">
    <w:name w:val="Título 5 Car"/>
    <w:basedOn w:val="Fuentedeprrafopredeter"/>
    <w:link w:val="Ttulo5"/>
    <w:uiPriority w:val="9"/>
    <w:semiHidden/>
    <w:rsid w:val="00153C4A"/>
    <w:rPr>
      <w:rFonts w:asciiTheme="majorHAnsi" w:eastAsiaTheme="majorEastAsia" w:hAnsiTheme="majorHAnsi" w:cstheme="majorBidi"/>
      <w:color w:val="1F4D78" w:themeColor="accent1" w:themeShade="7F"/>
      <w:sz w:val="24"/>
      <w:lang w:val="en-GB"/>
    </w:rPr>
  </w:style>
  <w:style w:type="character" w:customStyle="1" w:styleId="Ttulo6Car">
    <w:name w:val="Título 6 Car"/>
    <w:basedOn w:val="Fuentedeprrafopredeter"/>
    <w:link w:val="Ttulo6"/>
    <w:uiPriority w:val="9"/>
    <w:semiHidden/>
    <w:rsid w:val="00153C4A"/>
    <w:rPr>
      <w:rFonts w:asciiTheme="majorHAnsi" w:eastAsiaTheme="majorEastAsia" w:hAnsiTheme="majorHAnsi" w:cstheme="majorBidi"/>
      <w:i/>
      <w:iCs/>
      <w:color w:val="1F4D78" w:themeColor="accent1" w:themeShade="7F"/>
      <w:sz w:val="24"/>
      <w:lang w:val="en-GB"/>
    </w:rPr>
  </w:style>
  <w:style w:type="character" w:customStyle="1" w:styleId="Ttulo7Car">
    <w:name w:val="Título 7 Car"/>
    <w:basedOn w:val="Fuentedeprrafopredeter"/>
    <w:link w:val="Ttulo7"/>
    <w:uiPriority w:val="9"/>
    <w:semiHidden/>
    <w:rsid w:val="00153C4A"/>
    <w:rPr>
      <w:rFonts w:asciiTheme="majorHAnsi" w:eastAsiaTheme="majorEastAsia" w:hAnsiTheme="majorHAnsi" w:cstheme="majorBidi"/>
      <w:i/>
      <w:iCs/>
      <w:color w:val="404040" w:themeColor="text1" w:themeTint="BF"/>
      <w:sz w:val="24"/>
      <w:lang w:val="en-GB"/>
    </w:rPr>
  </w:style>
  <w:style w:type="character" w:customStyle="1" w:styleId="Ttulo8Car">
    <w:name w:val="Título 8 Car"/>
    <w:basedOn w:val="Fuentedeprrafopredeter"/>
    <w:link w:val="Ttulo8"/>
    <w:uiPriority w:val="9"/>
    <w:semiHidden/>
    <w:rsid w:val="00153C4A"/>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153C4A"/>
    <w:rPr>
      <w:rFonts w:asciiTheme="majorHAnsi" w:eastAsiaTheme="majorEastAsia" w:hAnsiTheme="majorHAnsi" w:cstheme="majorBidi"/>
      <w:i/>
      <w:iCs/>
      <w:color w:val="404040" w:themeColor="text1" w:themeTint="BF"/>
      <w:sz w:val="20"/>
      <w:szCs w:val="20"/>
      <w:lang w:val="en-GB"/>
    </w:rPr>
  </w:style>
  <w:style w:type="paragraph" w:styleId="Subttulo">
    <w:name w:val="Subtitle"/>
    <w:basedOn w:val="Normal"/>
    <w:next w:val="Normal"/>
    <w:link w:val="SubttuloCar"/>
    <w:uiPriority w:val="11"/>
    <w:qFormat/>
    <w:rsid w:val="00B11316"/>
    <w:pPr>
      <w:keepNext/>
      <w:keepLines/>
      <w:numPr>
        <w:ilvl w:val="1"/>
      </w:numPr>
    </w:pPr>
    <w:rPr>
      <w:rFonts w:eastAsiaTheme="majorEastAsia" w:cstheme="majorBidi"/>
      <w:b/>
      <w:iCs/>
      <w:spacing w:val="15"/>
      <w:sz w:val="28"/>
      <w:szCs w:val="24"/>
    </w:rPr>
  </w:style>
  <w:style w:type="character" w:customStyle="1" w:styleId="SubttuloCar">
    <w:name w:val="Subtítulo Car"/>
    <w:basedOn w:val="Fuentedeprrafopredeter"/>
    <w:link w:val="Subttulo"/>
    <w:uiPriority w:val="11"/>
    <w:rsid w:val="00B11316"/>
    <w:rPr>
      <w:rFonts w:ascii="Calibri" w:eastAsiaTheme="majorEastAsia" w:hAnsi="Calibri" w:cstheme="majorBidi"/>
      <w:b/>
      <w:iCs/>
      <w:spacing w:val="15"/>
      <w:sz w:val="28"/>
      <w:szCs w:val="24"/>
      <w:lang w:val="en-GB"/>
    </w:rPr>
  </w:style>
  <w:style w:type="paragraph" w:styleId="Prrafodelista">
    <w:name w:val="List Paragraph"/>
    <w:basedOn w:val="Normal"/>
    <w:next w:val="Normal"/>
    <w:uiPriority w:val="34"/>
    <w:qFormat/>
    <w:rsid w:val="00153C4A"/>
    <w:pPr>
      <w:keepLines/>
      <w:numPr>
        <w:numId w:val="2"/>
      </w:numPr>
    </w:pPr>
    <w:rPr>
      <w:rFonts w:asciiTheme="minorHAnsi" w:hAnsiTheme="minorHAnsi"/>
    </w:rPr>
  </w:style>
  <w:style w:type="paragraph" w:styleId="Descripcin">
    <w:name w:val="caption"/>
    <w:basedOn w:val="Normal"/>
    <w:next w:val="Normal"/>
    <w:uiPriority w:val="35"/>
    <w:unhideWhenUsed/>
    <w:qFormat/>
    <w:rsid w:val="00363920"/>
    <w:pPr>
      <w:keepNext/>
      <w:keepLines/>
      <w:spacing w:line="240" w:lineRule="auto"/>
    </w:pPr>
    <w:rPr>
      <w:b/>
      <w:bCs/>
      <w:sz w:val="18"/>
      <w:szCs w:val="18"/>
    </w:rPr>
  </w:style>
  <w:style w:type="table" w:customStyle="1" w:styleId="Estil1">
    <w:name w:val="Estil1"/>
    <w:basedOn w:val="Tablanormal"/>
    <w:uiPriority w:val="99"/>
    <w:rsid w:val="008A316B"/>
    <w:pPr>
      <w:spacing w:after="0" w:line="240" w:lineRule="auto"/>
    </w:pPr>
    <w:rPr>
      <w:sz w:val="18"/>
    </w:rPr>
    <w:tblPr>
      <w:tblInd w:w="0" w:type="dxa"/>
      <w:tblCellMar>
        <w:top w:w="0" w:type="dxa"/>
        <w:left w:w="108" w:type="dxa"/>
        <w:bottom w:w="0" w:type="dxa"/>
        <w:right w:w="108" w:type="dxa"/>
      </w:tblCellMar>
    </w:tblPr>
    <w:tcPr>
      <w:vAlign w:val="center"/>
    </w:tcPr>
  </w:style>
  <w:style w:type="paragraph" w:styleId="Encabezado">
    <w:name w:val="header"/>
    <w:basedOn w:val="Normal"/>
    <w:link w:val="EncabezadoCar"/>
    <w:uiPriority w:val="99"/>
    <w:unhideWhenUsed/>
    <w:rsid w:val="00AE5D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5DE8"/>
    <w:rPr>
      <w:rFonts w:ascii="Times New Roman" w:hAnsi="Times New Roman"/>
      <w:sz w:val="24"/>
      <w:lang w:val="en-GB"/>
    </w:rPr>
  </w:style>
  <w:style w:type="paragraph" w:styleId="Piedepgina">
    <w:name w:val="footer"/>
    <w:basedOn w:val="Normal"/>
    <w:link w:val="PiedepginaCar"/>
    <w:uiPriority w:val="99"/>
    <w:unhideWhenUsed/>
    <w:rsid w:val="00AE5D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5DE8"/>
    <w:rPr>
      <w:rFonts w:ascii="Times New Roman" w:hAnsi="Times New Roman"/>
      <w:sz w:val="24"/>
      <w:lang w:val="en-GB"/>
    </w:rPr>
  </w:style>
  <w:style w:type="character" w:styleId="Ttulodellibro">
    <w:name w:val="Book Title"/>
    <w:basedOn w:val="Fuentedeprrafopredeter"/>
    <w:uiPriority w:val="33"/>
    <w:qFormat/>
    <w:rsid w:val="00AE5DE8"/>
    <w:rPr>
      <w:b/>
      <w:bCs/>
      <w:smallCaps/>
      <w:spacing w:val="5"/>
    </w:rPr>
  </w:style>
  <w:style w:type="table" w:customStyle="1" w:styleId="Sombreadoclaro1">
    <w:name w:val="Sombreado claro1"/>
    <w:basedOn w:val="Tablanormal"/>
    <w:uiPriority w:val="60"/>
    <w:rsid w:val="00AE5DE8"/>
    <w:pPr>
      <w:spacing w:after="0" w:line="240" w:lineRule="auto"/>
      <w:ind w:left="720"/>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Fuentedeprrafopredeter"/>
    <w:rsid w:val="002A46C6"/>
  </w:style>
  <w:style w:type="character" w:customStyle="1" w:styleId="externalref">
    <w:name w:val="externalref"/>
    <w:basedOn w:val="Fuentedeprrafopredeter"/>
    <w:rsid w:val="002A46C6"/>
  </w:style>
  <w:style w:type="character" w:customStyle="1" w:styleId="refsource">
    <w:name w:val="refsource"/>
    <w:basedOn w:val="Fuentedeprrafopredeter"/>
    <w:rsid w:val="002A46C6"/>
  </w:style>
  <w:style w:type="character" w:styleId="Refdecomentario">
    <w:name w:val="annotation reference"/>
    <w:basedOn w:val="Fuentedeprrafopredeter"/>
    <w:uiPriority w:val="99"/>
    <w:semiHidden/>
    <w:unhideWhenUsed/>
    <w:rsid w:val="00D9020F"/>
    <w:rPr>
      <w:sz w:val="16"/>
      <w:szCs w:val="16"/>
    </w:rPr>
  </w:style>
  <w:style w:type="paragraph" w:styleId="Textocomentario">
    <w:name w:val="annotation text"/>
    <w:basedOn w:val="Normal"/>
    <w:link w:val="TextocomentarioCar"/>
    <w:uiPriority w:val="99"/>
    <w:unhideWhenUsed/>
    <w:rsid w:val="00D9020F"/>
    <w:pPr>
      <w:spacing w:line="240" w:lineRule="auto"/>
    </w:pPr>
    <w:rPr>
      <w:sz w:val="20"/>
      <w:szCs w:val="20"/>
    </w:rPr>
  </w:style>
  <w:style w:type="character" w:customStyle="1" w:styleId="TextocomentarioCar">
    <w:name w:val="Texto comentario Car"/>
    <w:basedOn w:val="Fuentedeprrafopredeter"/>
    <w:link w:val="Textocomentario"/>
    <w:uiPriority w:val="99"/>
    <w:rsid w:val="00D9020F"/>
    <w:rPr>
      <w:rFonts w:ascii="Calibri" w:hAnsi="Calibri"/>
      <w:sz w:val="20"/>
      <w:szCs w:val="20"/>
      <w:lang w:val="en-GB"/>
    </w:rPr>
  </w:style>
  <w:style w:type="paragraph" w:styleId="Asuntodelcomentario">
    <w:name w:val="annotation subject"/>
    <w:basedOn w:val="Textocomentario"/>
    <w:next w:val="Textocomentario"/>
    <w:link w:val="AsuntodelcomentarioCar"/>
    <w:uiPriority w:val="99"/>
    <w:semiHidden/>
    <w:unhideWhenUsed/>
    <w:rsid w:val="00D9020F"/>
    <w:rPr>
      <w:b/>
      <w:bCs/>
    </w:rPr>
  </w:style>
  <w:style w:type="character" w:customStyle="1" w:styleId="AsuntodelcomentarioCar">
    <w:name w:val="Asunto del comentario Car"/>
    <w:basedOn w:val="TextocomentarioCar"/>
    <w:link w:val="Asuntodelcomentario"/>
    <w:uiPriority w:val="99"/>
    <w:semiHidden/>
    <w:rsid w:val="00D9020F"/>
    <w:rPr>
      <w:rFonts w:ascii="Calibri" w:hAnsi="Calibri"/>
      <w:b/>
      <w:bCs/>
      <w:sz w:val="20"/>
      <w:szCs w:val="20"/>
      <w:lang w:val="en-GB"/>
    </w:rPr>
  </w:style>
  <w:style w:type="paragraph" w:styleId="Textodeglobo">
    <w:name w:val="Balloon Text"/>
    <w:basedOn w:val="Normal"/>
    <w:link w:val="TextodegloboCar"/>
    <w:uiPriority w:val="99"/>
    <w:semiHidden/>
    <w:unhideWhenUsed/>
    <w:rsid w:val="00D902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020F"/>
    <w:rPr>
      <w:rFonts w:ascii="Segoe UI" w:hAnsi="Segoe UI" w:cs="Segoe UI"/>
      <w:sz w:val="18"/>
      <w:szCs w:val="18"/>
      <w:lang w:val="en-GB"/>
    </w:rPr>
  </w:style>
  <w:style w:type="paragraph" w:styleId="Sinespaciado">
    <w:name w:val="No Spacing"/>
    <w:uiPriority w:val="1"/>
    <w:qFormat/>
    <w:rsid w:val="00D9020F"/>
    <w:pPr>
      <w:spacing w:after="0" w:afterAutospacing="1" w:line="240" w:lineRule="auto"/>
      <w:jc w:val="both"/>
    </w:pPr>
    <w:rPr>
      <w:rFonts w:ascii="Calibri" w:hAnsi="Calibri"/>
      <w:lang w:val="en-GB"/>
    </w:rPr>
  </w:style>
  <w:style w:type="table" w:styleId="Tablaconcuadrcula">
    <w:name w:val="Table Grid"/>
    <w:basedOn w:val="Tablanormal"/>
    <w:uiPriority w:val="39"/>
    <w:rsid w:val="000B7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D27D0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D27D02"/>
    <w:rPr>
      <w:rFonts w:asciiTheme="majorHAnsi" w:eastAsiaTheme="majorEastAsia" w:hAnsiTheme="majorHAnsi" w:cstheme="majorBidi"/>
      <w:color w:val="323E4F" w:themeColor="text2" w:themeShade="BF"/>
      <w:spacing w:val="5"/>
      <w:kern w:val="28"/>
      <w:sz w:val="52"/>
      <w:szCs w:val="52"/>
      <w:lang w:val="en-GB"/>
    </w:rPr>
  </w:style>
  <w:style w:type="paragraph" w:styleId="Textonotaalfinal">
    <w:name w:val="endnote text"/>
    <w:basedOn w:val="Normal"/>
    <w:link w:val="TextonotaalfinalCar"/>
    <w:uiPriority w:val="99"/>
    <w:semiHidden/>
    <w:unhideWhenUsed/>
    <w:rsid w:val="00BB4C4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4C4B"/>
    <w:rPr>
      <w:rFonts w:ascii="Calibri" w:hAnsi="Calibri"/>
      <w:sz w:val="20"/>
      <w:szCs w:val="20"/>
      <w:lang w:val="en-GB"/>
    </w:rPr>
  </w:style>
  <w:style w:type="character" w:styleId="Refdenotaalfinal">
    <w:name w:val="endnote reference"/>
    <w:basedOn w:val="Fuentedeprrafopredeter"/>
    <w:uiPriority w:val="99"/>
    <w:semiHidden/>
    <w:unhideWhenUsed/>
    <w:rsid w:val="00BB4C4B"/>
    <w:rPr>
      <w:vertAlign w:val="superscript"/>
    </w:rPr>
  </w:style>
  <w:style w:type="character" w:styleId="Hipervnculo">
    <w:name w:val="Hyperlink"/>
    <w:basedOn w:val="Fuentedeprrafopredeter"/>
    <w:uiPriority w:val="99"/>
    <w:unhideWhenUsed/>
    <w:rsid w:val="00716D8A"/>
    <w:rPr>
      <w:color w:val="0563C1" w:themeColor="hyperlink"/>
      <w:u w:val="single"/>
    </w:rPr>
  </w:style>
  <w:style w:type="paragraph" w:customStyle="1" w:styleId="Taula">
    <w:name w:val="Taula"/>
    <w:basedOn w:val="Normal"/>
    <w:next w:val="Normal"/>
    <w:qFormat/>
    <w:rsid w:val="007E107C"/>
    <w:pPr>
      <w:keepNext/>
      <w:keepLines/>
      <w:spacing w:before="60" w:after="60" w:afterAutospacing="0"/>
    </w:pPr>
    <w:rPr>
      <w:rFonts w:asciiTheme="minorHAnsi" w:hAnsiTheme="minorHAnsi" w:cs="AdvOTb83ee1dd.B"/>
      <w:sz w:val="16"/>
      <w:szCs w:val="16"/>
    </w:rPr>
  </w:style>
  <w:style w:type="character" w:styleId="Nmerodelnea">
    <w:name w:val="line number"/>
    <w:basedOn w:val="Fuentedeprrafopredeter"/>
    <w:uiPriority w:val="99"/>
    <w:semiHidden/>
    <w:unhideWhenUsed/>
    <w:rsid w:val="004529A9"/>
  </w:style>
  <w:style w:type="paragraph" w:styleId="NormalWeb">
    <w:name w:val="Normal (Web)"/>
    <w:basedOn w:val="Normal"/>
    <w:uiPriority w:val="99"/>
    <w:semiHidden/>
    <w:unhideWhenUsed/>
    <w:rsid w:val="00837077"/>
    <w:pPr>
      <w:spacing w:before="100" w:beforeAutospacing="1" w:line="240" w:lineRule="auto"/>
      <w:jc w:val="left"/>
    </w:pPr>
    <w:rPr>
      <w:rFonts w:ascii="Times New Roman" w:eastAsiaTheme="minorEastAsia" w:hAnsi="Times New Roman" w:cs="Times New Roman"/>
      <w:sz w:val="24"/>
      <w:szCs w:val="24"/>
      <w:lang w:val="es-ES" w:eastAsia="es-ES"/>
    </w:rPr>
  </w:style>
  <w:style w:type="paragraph" w:customStyle="1" w:styleId="Ttolfigura">
    <w:name w:val="Títol figura"/>
    <w:basedOn w:val="Descripcin"/>
    <w:qFormat/>
    <w:rsid w:val="004E59F5"/>
  </w:style>
  <w:style w:type="paragraph" w:styleId="Revisin">
    <w:name w:val="Revision"/>
    <w:hidden/>
    <w:uiPriority w:val="99"/>
    <w:semiHidden/>
    <w:rsid w:val="00CB3B3B"/>
    <w:pPr>
      <w:spacing w:after="0" w:line="240" w:lineRule="auto"/>
    </w:pPr>
    <w:rPr>
      <w:rFonts w:ascii="Calibri" w:hAnsi="Calibri"/>
      <w:lang w:val="en-GB"/>
    </w:rPr>
  </w:style>
  <w:style w:type="character" w:customStyle="1" w:styleId="UnresolvedMention">
    <w:name w:val="Unresolved Mention"/>
    <w:basedOn w:val="Fuentedeprrafopredeter"/>
    <w:uiPriority w:val="99"/>
    <w:semiHidden/>
    <w:unhideWhenUsed/>
    <w:rsid w:val="00953C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93599">
      <w:bodyDiv w:val="1"/>
      <w:marLeft w:val="0"/>
      <w:marRight w:val="0"/>
      <w:marTop w:val="0"/>
      <w:marBottom w:val="0"/>
      <w:divBdr>
        <w:top w:val="none" w:sz="0" w:space="0" w:color="auto"/>
        <w:left w:val="none" w:sz="0" w:space="0" w:color="auto"/>
        <w:bottom w:val="none" w:sz="0" w:space="0" w:color="auto"/>
        <w:right w:val="none" w:sz="0" w:space="0" w:color="auto"/>
      </w:divBdr>
    </w:div>
    <w:div w:id="90972379">
      <w:bodyDiv w:val="1"/>
      <w:marLeft w:val="0"/>
      <w:marRight w:val="0"/>
      <w:marTop w:val="0"/>
      <w:marBottom w:val="0"/>
      <w:divBdr>
        <w:top w:val="none" w:sz="0" w:space="0" w:color="auto"/>
        <w:left w:val="none" w:sz="0" w:space="0" w:color="auto"/>
        <w:bottom w:val="none" w:sz="0" w:space="0" w:color="auto"/>
        <w:right w:val="none" w:sz="0" w:space="0" w:color="auto"/>
      </w:divBdr>
    </w:div>
    <w:div w:id="143470152">
      <w:bodyDiv w:val="1"/>
      <w:marLeft w:val="0"/>
      <w:marRight w:val="0"/>
      <w:marTop w:val="0"/>
      <w:marBottom w:val="0"/>
      <w:divBdr>
        <w:top w:val="none" w:sz="0" w:space="0" w:color="auto"/>
        <w:left w:val="none" w:sz="0" w:space="0" w:color="auto"/>
        <w:bottom w:val="none" w:sz="0" w:space="0" w:color="auto"/>
        <w:right w:val="none" w:sz="0" w:space="0" w:color="auto"/>
      </w:divBdr>
    </w:div>
    <w:div w:id="155607161">
      <w:bodyDiv w:val="1"/>
      <w:marLeft w:val="0"/>
      <w:marRight w:val="0"/>
      <w:marTop w:val="0"/>
      <w:marBottom w:val="0"/>
      <w:divBdr>
        <w:top w:val="none" w:sz="0" w:space="0" w:color="auto"/>
        <w:left w:val="none" w:sz="0" w:space="0" w:color="auto"/>
        <w:bottom w:val="none" w:sz="0" w:space="0" w:color="auto"/>
        <w:right w:val="none" w:sz="0" w:space="0" w:color="auto"/>
      </w:divBdr>
    </w:div>
    <w:div w:id="241451672">
      <w:bodyDiv w:val="1"/>
      <w:marLeft w:val="0"/>
      <w:marRight w:val="0"/>
      <w:marTop w:val="0"/>
      <w:marBottom w:val="0"/>
      <w:divBdr>
        <w:top w:val="none" w:sz="0" w:space="0" w:color="auto"/>
        <w:left w:val="none" w:sz="0" w:space="0" w:color="auto"/>
        <w:bottom w:val="none" w:sz="0" w:space="0" w:color="auto"/>
        <w:right w:val="none" w:sz="0" w:space="0" w:color="auto"/>
      </w:divBdr>
    </w:div>
    <w:div w:id="348604391">
      <w:bodyDiv w:val="1"/>
      <w:marLeft w:val="0"/>
      <w:marRight w:val="0"/>
      <w:marTop w:val="0"/>
      <w:marBottom w:val="0"/>
      <w:divBdr>
        <w:top w:val="none" w:sz="0" w:space="0" w:color="auto"/>
        <w:left w:val="none" w:sz="0" w:space="0" w:color="auto"/>
        <w:bottom w:val="none" w:sz="0" w:space="0" w:color="auto"/>
        <w:right w:val="none" w:sz="0" w:space="0" w:color="auto"/>
      </w:divBdr>
    </w:div>
    <w:div w:id="372847860">
      <w:bodyDiv w:val="1"/>
      <w:marLeft w:val="0"/>
      <w:marRight w:val="0"/>
      <w:marTop w:val="0"/>
      <w:marBottom w:val="0"/>
      <w:divBdr>
        <w:top w:val="none" w:sz="0" w:space="0" w:color="auto"/>
        <w:left w:val="none" w:sz="0" w:space="0" w:color="auto"/>
        <w:bottom w:val="none" w:sz="0" w:space="0" w:color="auto"/>
        <w:right w:val="none" w:sz="0" w:space="0" w:color="auto"/>
      </w:divBdr>
    </w:div>
    <w:div w:id="387533353">
      <w:bodyDiv w:val="1"/>
      <w:marLeft w:val="0"/>
      <w:marRight w:val="0"/>
      <w:marTop w:val="0"/>
      <w:marBottom w:val="0"/>
      <w:divBdr>
        <w:top w:val="none" w:sz="0" w:space="0" w:color="auto"/>
        <w:left w:val="none" w:sz="0" w:space="0" w:color="auto"/>
        <w:bottom w:val="none" w:sz="0" w:space="0" w:color="auto"/>
        <w:right w:val="none" w:sz="0" w:space="0" w:color="auto"/>
      </w:divBdr>
    </w:div>
    <w:div w:id="437407795">
      <w:bodyDiv w:val="1"/>
      <w:marLeft w:val="0"/>
      <w:marRight w:val="0"/>
      <w:marTop w:val="0"/>
      <w:marBottom w:val="0"/>
      <w:divBdr>
        <w:top w:val="none" w:sz="0" w:space="0" w:color="auto"/>
        <w:left w:val="none" w:sz="0" w:space="0" w:color="auto"/>
        <w:bottom w:val="none" w:sz="0" w:space="0" w:color="auto"/>
        <w:right w:val="none" w:sz="0" w:space="0" w:color="auto"/>
      </w:divBdr>
    </w:div>
    <w:div w:id="486745335">
      <w:bodyDiv w:val="1"/>
      <w:marLeft w:val="0"/>
      <w:marRight w:val="0"/>
      <w:marTop w:val="0"/>
      <w:marBottom w:val="0"/>
      <w:divBdr>
        <w:top w:val="none" w:sz="0" w:space="0" w:color="auto"/>
        <w:left w:val="none" w:sz="0" w:space="0" w:color="auto"/>
        <w:bottom w:val="none" w:sz="0" w:space="0" w:color="auto"/>
        <w:right w:val="none" w:sz="0" w:space="0" w:color="auto"/>
      </w:divBdr>
      <w:divsChild>
        <w:div w:id="417141755">
          <w:marLeft w:val="0"/>
          <w:marRight w:val="0"/>
          <w:marTop w:val="75"/>
          <w:marBottom w:val="0"/>
          <w:divBdr>
            <w:top w:val="none" w:sz="0" w:space="0" w:color="auto"/>
            <w:left w:val="none" w:sz="0" w:space="0" w:color="auto"/>
            <w:bottom w:val="none" w:sz="0" w:space="0" w:color="auto"/>
            <w:right w:val="none" w:sz="0" w:space="0" w:color="auto"/>
          </w:divBdr>
        </w:div>
        <w:div w:id="1547597406">
          <w:marLeft w:val="0"/>
          <w:marRight w:val="0"/>
          <w:marTop w:val="75"/>
          <w:marBottom w:val="0"/>
          <w:divBdr>
            <w:top w:val="none" w:sz="0" w:space="0" w:color="auto"/>
            <w:left w:val="none" w:sz="0" w:space="0" w:color="auto"/>
            <w:bottom w:val="none" w:sz="0" w:space="0" w:color="auto"/>
            <w:right w:val="none" w:sz="0" w:space="0" w:color="auto"/>
          </w:divBdr>
        </w:div>
      </w:divsChild>
    </w:div>
    <w:div w:id="512455404">
      <w:bodyDiv w:val="1"/>
      <w:marLeft w:val="0"/>
      <w:marRight w:val="0"/>
      <w:marTop w:val="0"/>
      <w:marBottom w:val="0"/>
      <w:divBdr>
        <w:top w:val="none" w:sz="0" w:space="0" w:color="auto"/>
        <w:left w:val="none" w:sz="0" w:space="0" w:color="auto"/>
        <w:bottom w:val="none" w:sz="0" w:space="0" w:color="auto"/>
        <w:right w:val="none" w:sz="0" w:space="0" w:color="auto"/>
      </w:divBdr>
    </w:div>
    <w:div w:id="604268659">
      <w:bodyDiv w:val="1"/>
      <w:marLeft w:val="0"/>
      <w:marRight w:val="0"/>
      <w:marTop w:val="0"/>
      <w:marBottom w:val="0"/>
      <w:divBdr>
        <w:top w:val="none" w:sz="0" w:space="0" w:color="auto"/>
        <w:left w:val="none" w:sz="0" w:space="0" w:color="auto"/>
        <w:bottom w:val="none" w:sz="0" w:space="0" w:color="auto"/>
        <w:right w:val="none" w:sz="0" w:space="0" w:color="auto"/>
      </w:divBdr>
    </w:div>
    <w:div w:id="617950664">
      <w:bodyDiv w:val="1"/>
      <w:marLeft w:val="0"/>
      <w:marRight w:val="0"/>
      <w:marTop w:val="0"/>
      <w:marBottom w:val="0"/>
      <w:divBdr>
        <w:top w:val="none" w:sz="0" w:space="0" w:color="auto"/>
        <w:left w:val="none" w:sz="0" w:space="0" w:color="auto"/>
        <w:bottom w:val="none" w:sz="0" w:space="0" w:color="auto"/>
        <w:right w:val="none" w:sz="0" w:space="0" w:color="auto"/>
      </w:divBdr>
    </w:div>
    <w:div w:id="623193702">
      <w:bodyDiv w:val="1"/>
      <w:marLeft w:val="0"/>
      <w:marRight w:val="0"/>
      <w:marTop w:val="0"/>
      <w:marBottom w:val="0"/>
      <w:divBdr>
        <w:top w:val="none" w:sz="0" w:space="0" w:color="auto"/>
        <w:left w:val="none" w:sz="0" w:space="0" w:color="auto"/>
        <w:bottom w:val="none" w:sz="0" w:space="0" w:color="auto"/>
        <w:right w:val="none" w:sz="0" w:space="0" w:color="auto"/>
      </w:divBdr>
    </w:div>
    <w:div w:id="662707323">
      <w:bodyDiv w:val="1"/>
      <w:marLeft w:val="0"/>
      <w:marRight w:val="0"/>
      <w:marTop w:val="0"/>
      <w:marBottom w:val="0"/>
      <w:divBdr>
        <w:top w:val="none" w:sz="0" w:space="0" w:color="auto"/>
        <w:left w:val="none" w:sz="0" w:space="0" w:color="auto"/>
        <w:bottom w:val="none" w:sz="0" w:space="0" w:color="auto"/>
        <w:right w:val="none" w:sz="0" w:space="0" w:color="auto"/>
      </w:divBdr>
    </w:div>
    <w:div w:id="671181468">
      <w:bodyDiv w:val="1"/>
      <w:marLeft w:val="0"/>
      <w:marRight w:val="0"/>
      <w:marTop w:val="0"/>
      <w:marBottom w:val="0"/>
      <w:divBdr>
        <w:top w:val="none" w:sz="0" w:space="0" w:color="auto"/>
        <w:left w:val="none" w:sz="0" w:space="0" w:color="auto"/>
        <w:bottom w:val="none" w:sz="0" w:space="0" w:color="auto"/>
        <w:right w:val="none" w:sz="0" w:space="0" w:color="auto"/>
      </w:divBdr>
    </w:div>
    <w:div w:id="701252253">
      <w:bodyDiv w:val="1"/>
      <w:marLeft w:val="0"/>
      <w:marRight w:val="0"/>
      <w:marTop w:val="0"/>
      <w:marBottom w:val="0"/>
      <w:divBdr>
        <w:top w:val="none" w:sz="0" w:space="0" w:color="auto"/>
        <w:left w:val="none" w:sz="0" w:space="0" w:color="auto"/>
        <w:bottom w:val="none" w:sz="0" w:space="0" w:color="auto"/>
        <w:right w:val="none" w:sz="0" w:space="0" w:color="auto"/>
      </w:divBdr>
    </w:div>
    <w:div w:id="713507600">
      <w:bodyDiv w:val="1"/>
      <w:marLeft w:val="0"/>
      <w:marRight w:val="0"/>
      <w:marTop w:val="0"/>
      <w:marBottom w:val="0"/>
      <w:divBdr>
        <w:top w:val="none" w:sz="0" w:space="0" w:color="auto"/>
        <w:left w:val="none" w:sz="0" w:space="0" w:color="auto"/>
        <w:bottom w:val="none" w:sz="0" w:space="0" w:color="auto"/>
        <w:right w:val="none" w:sz="0" w:space="0" w:color="auto"/>
      </w:divBdr>
    </w:div>
    <w:div w:id="842552410">
      <w:bodyDiv w:val="1"/>
      <w:marLeft w:val="0"/>
      <w:marRight w:val="0"/>
      <w:marTop w:val="0"/>
      <w:marBottom w:val="0"/>
      <w:divBdr>
        <w:top w:val="none" w:sz="0" w:space="0" w:color="auto"/>
        <w:left w:val="none" w:sz="0" w:space="0" w:color="auto"/>
        <w:bottom w:val="none" w:sz="0" w:space="0" w:color="auto"/>
        <w:right w:val="none" w:sz="0" w:space="0" w:color="auto"/>
      </w:divBdr>
    </w:div>
    <w:div w:id="889654507">
      <w:bodyDiv w:val="1"/>
      <w:marLeft w:val="0"/>
      <w:marRight w:val="0"/>
      <w:marTop w:val="0"/>
      <w:marBottom w:val="0"/>
      <w:divBdr>
        <w:top w:val="none" w:sz="0" w:space="0" w:color="auto"/>
        <w:left w:val="none" w:sz="0" w:space="0" w:color="auto"/>
        <w:bottom w:val="none" w:sz="0" w:space="0" w:color="auto"/>
        <w:right w:val="none" w:sz="0" w:space="0" w:color="auto"/>
      </w:divBdr>
    </w:div>
    <w:div w:id="1026325823">
      <w:bodyDiv w:val="1"/>
      <w:marLeft w:val="0"/>
      <w:marRight w:val="0"/>
      <w:marTop w:val="0"/>
      <w:marBottom w:val="0"/>
      <w:divBdr>
        <w:top w:val="none" w:sz="0" w:space="0" w:color="auto"/>
        <w:left w:val="none" w:sz="0" w:space="0" w:color="auto"/>
        <w:bottom w:val="none" w:sz="0" w:space="0" w:color="auto"/>
        <w:right w:val="none" w:sz="0" w:space="0" w:color="auto"/>
      </w:divBdr>
    </w:div>
    <w:div w:id="1035620325">
      <w:bodyDiv w:val="1"/>
      <w:marLeft w:val="0"/>
      <w:marRight w:val="0"/>
      <w:marTop w:val="0"/>
      <w:marBottom w:val="0"/>
      <w:divBdr>
        <w:top w:val="none" w:sz="0" w:space="0" w:color="auto"/>
        <w:left w:val="none" w:sz="0" w:space="0" w:color="auto"/>
        <w:bottom w:val="none" w:sz="0" w:space="0" w:color="auto"/>
        <w:right w:val="none" w:sz="0" w:space="0" w:color="auto"/>
      </w:divBdr>
    </w:div>
    <w:div w:id="1060978177">
      <w:bodyDiv w:val="1"/>
      <w:marLeft w:val="0"/>
      <w:marRight w:val="0"/>
      <w:marTop w:val="0"/>
      <w:marBottom w:val="0"/>
      <w:divBdr>
        <w:top w:val="none" w:sz="0" w:space="0" w:color="auto"/>
        <w:left w:val="none" w:sz="0" w:space="0" w:color="auto"/>
        <w:bottom w:val="none" w:sz="0" w:space="0" w:color="auto"/>
        <w:right w:val="none" w:sz="0" w:space="0" w:color="auto"/>
      </w:divBdr>
    </w:div>
    <w:div w:id="1075470195">
      <w:bodyDiv w:val="1"/>
      <w:marLeft w:val="0"/>
      <w:marRight w:val="0"/>
      <w:marTop w:val="0"/>
      <w:marBottom w:val="0"/>
      <w:divBdr>
        <w:top w:val="none" w:sz="0" w:space="0" w:color="auto"/>
        <w:left w:val="none" w:sz="0" w:space="0" w:color="auto"/>
        <w:bottom w:val="none" w:sz="0" w:space="0" w:color="auto"/>
        <w:right w:val="none" w:sz="0" w:space="0" w:color="auto"/>
      </w:divBdr>
    </w:div>
    <w:div w:id="1139147264">
      <w:bodyDiv w:val="1"/>
      <w:marLeft w:val="0"/>
      <w:marRight w:val="0"/>
      <w:marTop w:val="0"/>
      <w:marBottom w:val="0"/>
      <w:divBdr>
        <w:top w:val="none" w:sz="0" w:space="0" w:color="auto"/>
        <w:left w:val="none" w:sz="0" w:space="0" w:color="auto"/>
        <w:bottom w:val="none" w:sz="0" w:space="0" w:color="auto"/>
        <w:right w:val="none" w:sz="0" w:space="0" w:color="auto"/>
      </w:divBdr>
    </w:div>
    <w:div w:id="1217358699">
      <w:bodyDiv w:val="1"/>
      <w:marLeft w:val="0"/>
      <w:marRight w:val="0"/>
      <w:marTop w:val="0"/>
      <w:marBottom w:val="0"/>
      <w:divBdr>
        <w:top w:val="none" w:sz="0" w:space="0" w:color="auto"/>
        <w:left w:val="none" w:sz="0" w:space="0" w:color="auto"/>
        <w:bottom w:val="none" w:sz="0" w:space="0" w:color="auto"/>
        <w:right w:val="none" w:sz="0" w:space="0" w:color="auto"/>
      </w:divBdr>
    </w:div>
    <w:div w:id="1254631029">
      <w:bodyDiv w:val="1"/>
      <w:marLeft w:val="0"/>
      <w:marRight w:val="0"/>
      <w:marTop w:val="0"/>
      <w:marBottom w:val="0"/>
      <w:divBdr>
        <w:top w:val="none" w:sz="0" w:space="0" w:color="auto"/>
        <w:left w:val="none" w:sz="0" w:space="0" w:color="auto"/>
        <w:bottom w:val="none" w:sz="0" w:space="0" w:color="auto"/>
        <w:right w:val="none" w:sz="0" w:space="0" w:color="auto"/>
      </w:divBdr>
    </w:div>
    <w:div w:id="1262376701">
      <w:bodyDiv w:val="1"/>
      <w:marLeft w:val="0"/>
      <w:marRight w:val="0"/>
      <w:marTop w:val="0"/>
      <w:marBottom w:val="0"/>
      <w:divBdr>
        <w:top w:val="none" w:sz="0" w:space="0" w:color="auto"/>
        <w:left w:val="none" w:sz="0" w:space="0" w:color="auto"/>
        <w:bottom w:val="none" w:sz="0" w:space="0" w:color="auto"/>
        <w:right w:val="none" w:sz="0" w:space="0" w:color="auto"/>
      </w:divBdr>
    </w:div>
    <w:div w:id="1420063144">
      <w:bodyDiv w:val="1"/>
      <w:marLeft w:val="0"/>
      <w:marRight w:val="0"/>
      <w:marTop w:val="0"/>
      <w:marBottom w:val="0"/>
      <w:divBdr>
        <w:top w:val="none" w:sz="0" w:space="0" w:color="auto"/>
        <w:left w:val="none" w:sz="0" w:space="0" w:color="auto"/>
        <w:bottom w:val="none" w:sz="0" w:space="0" w:color="auto"/>
        <w:right w:val="none" w:sz="0" w:space="0" w:color="auto"/>
      </w:divBdr>
    </w:div>
    <w:div w:id="1504121857">
      <w:bodyDiv w:val="1"/>
      <w:marLeft w:val="0"/>
      <w:marRight w:val="0"/>
      <w:marTop w:val="0"/>
      <w:marBottom w:val="0"/>
      <w:divBdr>
        <w:top w:val="none" w:sz="0" w:space="0" w:color="auto"/>
        <w:left w:val="none" w:sz="0" w:space="0" w:color="auto"/>
        <w:bottom w:val="none" w:sz="0" w:space="0" w:color="auto"/>
        <w:right w:val="none" w:sz="0" w:space="0" w:color="auto"/>
      </w:divBdr>
    </w:div>
    <w:div w:id="1526403393">
      <w:bodyDiv w:val="1"/>
      <w:marLeft w:val="0"/>
      <w:marRight w:val="0"/>
      <w:marTop w:val="0"/>
      <w:marBottom w:val="0"/>
      <w:divBdr>
        <w:top w:val="none" w:sz="0" w:space="0" w:color="auto"/>
        <w:left w:val="none" w:sz="0" w:space="0" w:color="auto"/>
        <w:bottom w:val="none" w:sz="0" w:space="0" w:color="auto"/>
        <w:right w:val="none" w:sz="0" w:space="0" w:color="auto"/>
      </w:divBdr>
    </w:div>
    <w:div w:id="1541936546">
      <w:bodyDiv w:val="1"/>
      <w:marLeft w:val="0"/>
      <w:marRight w:val="0"/>
      <w:marTop w:val="0"/>
      <w:marBottom w:val="0"/>
      <w:divBdr>
        <w:top w:val="none" w:sz="0" w:space="0" w:color="auto"/>
        <w:left w:val="none" w:sz="0" w:space="0" w:color="auto"/>
        <w:bottom w:val="none" w:sz="0" w:space="0" w:color="auto"/>
        <w:right w:val="none" w:sz="0" w:space="0" w:color="auto"/>
      </w:divBdr>
    </w:div>
    <w:div w:id="1612392463">
      <w:bodyDiv w:val="1"/>
      <w:marLeft w:val="0"/>
      <w:marRight w:val="0"/>
      <w:marTop w:val="0"/>
      <w:marBottom w:val="0"/>
      <w:divBdr>
        <w:top w:val="none" w:sz="0" w:space="0" w:color="auto"/>
        <w:left w:val="none" w:sz="0" w:space="0" w:color="auto"/>
        <w:bottom w:val="none" w:sz="0" w:space="0" w:color="auto"/>
        <w:right w:val="none" w:sz="0" w:space="0" w:color="auto"/>
      </w:divBdr>
    </w:div>
    <w:div w:id="1738822548">
      <w:bodyDiv w:val="1"/>
      <w:marLeft w:val="0"/>
      <w:marRight w:val="0"/>
      <w:marTop w:val="0"/>
      <w:marBottom w:val="0"/>
      <w:divBdr>
        <w:top w:val="none" w:sz="0" w:space="0" w:color="auto"/>
        <w:left w:val="none" w:sz="0" w:space="0" w:color="auto"/>
        <w:bottom w:val="none" w:sz="0" w:space="0" w:color="auto"/>
        <w:right w:val="none" w:sz="0" w:space="0" w:color="auto"/>
      </w:divBdr>
    </w:div>
    <w:div w:id="1817379064">
      <w:bodyDiv w:val="1"/>
      <w:marLeft w:val="0"/>
      <w:marRight w:val="0"/>
      <w:marTop w:val="0"/>
      <w:marBottom w:val="0"/>
      <w:divBdr>
        <w:top w:val="none" w:sz="0" w:space="0" w:color="auto"/>
        <w:left w:val="none" w:sz="0" w:space="0" w:color="auto"/>
        <w:bottom w:val="none" w:sz="0" w:space="0" w:color="auto"/>
        <w:right w:val="none" w:sz="0" w:space="0" w:color="auto"/>
      </w:divBdr>
    </w:div>
    <w:div w:id="1889877337">
      <w:bodyDiv w:val="1"/>
      <w:marLeft w:val="0"/>
      <w:marRight w:val="0"/>
      <w:marTop w:val="0"/>
      <w:marBottom w:val="0"/>
      <w:divBdr>
        <w:top w:val="none" w:sz="0" w:space="0" w:color="auto"/>
        <w:left w:val="none" w:sz="0" w:space="0" w:color="auto"/>
        <w:bottom w:val="none" w:sz="0" w:space="0" w:color="auto"/>
        <w:right w:val="none" w:sz="0" w:space="0" w:color="auto"/>
      </w:divBdr>
    </w:div>
    <w:div w:id="1893494045">
      <w:bodyDiv w:val="1"/>
      <w:marLeft w:val="0"/>
      <w:marRight w:val="0"/>
      <w:marTop w:val="0"/>
      <w:marBottom w:val="0"/>
      <w:divBdr>
        <w:top w:val="none" w:sz="0" w:space="0" w:color="auto"/>
        <w:left w:val="none" w:sz="0" w:space="0" w:color="auto"/>
        <w:bottom w:val="none" w:sz="0" w:space="0" w:color="auto"/>
        <w:right w:val="none" w:sz="0" w:space="0" w:color="auto"/>
      </w:divBdr>
    </w:div>
    <w:div w:id="1976636215">
      <w:bodyDiv w:val="1"/>
      <w:marLeft w:val="0"/>
      <w:marRight w:val="0"/>
      <w:marTop w:val="0"/>
      <w:marBottom w:val="0"/>
      <w:divBdr>
        <w:top w:val="none" w:sz="0" w:space="0" w:color="auto"/>
        <w:left w:val="none" w:sz="0" w:space="0" w:color="auto"/>
        <w:bottom w:val="none" w:sz="0" w:space="0" w:color="auto"/>
        <w:right w:val="none" w:sz="0" w:space="0" w:color="auto"/>
      </w:divBdr>
    </w:div>
    <w:div w:id="1979140544">
      <w:bodyDiv w:val="1"/>
      <w:marLeft w:val="0"/>
      <w:marRight w:val="0"/>
      <w:marTop w:val="0"/>
      <w:marBottom w:val="0"/>
      <w:divBdr>
        <w:top w:val="none" w:sz="0" w:space="0" w:color="auto"/>
        <w:left w:val="none" w:sz="0" w:space="0" w:color="auto"/>
        <w:bottom w:val="none" w:sz="0" w:space="0" w:color="auto"/>
        <w:right w:val="none" w:sz="0" w:space="0" w:color="auto"/>
      </w:divBdr>
    </w:div>
    <w:div w:id="2058159324">
      <w:bodyDiv w:val="1"/>
      <w:marLeft w:val="0"/>
      <w:marRight w:val="0"/>
      <w:marTop w:val="0"/>
      <w:marBottom w:val="0"/>
      <w:divBdr>
        <w:top w:val="none" w:sz="0" w:space="0" w:color="auto"/>
        <w:left w:val="none" w:sz="0" w:space="0" w:color="auto"/>
        <w:bottom w:val="none" w:sz="0" w:space="0" w:color="auto"/>
        <w:right w:val="none" w:sz="0" w:space="0" w:color="auto"/>
      </w:divBdr>
    </w:div>
    <w:div w:id="207581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chart" Target="charts/chart1.xml"/><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Hoja_de_c_lculo_de_Microsoft_Excel1.xlsx"/><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Hoja_de_c_lculo_de_Microsoft_Excel2.xlsx"/><Relationship Id="rId3"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Hoja_de_c_lculo_de_Microsoft_Excel3.xlsx"/><Relationship Id="rId3"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ResultsTripleCation!$B$40</c:f>
              <c:strCache>
                <c:ptCount val="1"/>
                <c:pt idx="0">
                  <c:v>x = 0</c:v>
                </c:pt>
              </c:strCache>
            </c:strRef>
          </c:tx>
          <c:spPr>
            <a:solidFill>
              <a:srgbClr val="7030A0"/>
            </a:solidFill>
          </c:spPr>
          <c:invertIfNegative val="0"/>
          <c:cat>
            <c:multiLvlStrRef>
              <c:f>ResultsTripleCation!$C$38:$X$39</c:f>
              <c:multiLvlStrCache>
                <c:ptCount val="22"/>
                <c:lvl>
                  <c:pt idx="0">
                    <c:v>Total</c:v>
                  </c:pt>
                  <c:pt idx="1">
                    <c:v>Non-energy</c:v>
                  </c:pt>
                  <c:pt idx="2">
                    <c:v>Total</c:v>
                  </c:pt>
                  <c:pt idx="3">
                    <c:v>Non-energy</c:v>
                  </c:pt>
                  <c:pt idx="4">
                    <c:v>Total</c:v>
                  </c:pt>
                  <c:pt idx="5">
                    <c:v>Non-energy</c:v>
                  </c:pt>
                  <c:pt idx="6">
                    <c:v>Total</c:v>
                  </c:pt>
                  <c:pt idx="7">
                    <c:v>Non-energy</c:v>
                  </c:pt>
                  <c:pt idx="8">
                    <c:v>Total</c:v>
                  </c:pt>
                  <c:pt idx="9">
                    <c:v>Non-energy</c:v>
                  </c:pt>
                  <c:pt idx="10">
                    <c:v>Total</c:v>
                  </c:pt>
                  <c:pt idx="11">
                    <c:v>Non-energy</c:v>
                  </c:pt>
                  <c:pt idx="12">
                    <c:v>Total</c:v>
                  </c:pt>
                  <c:pt idx="13">
                    <c:v>Non-energy</c:v>
                  </c:pt>
                  <c:pt idx="14">
                    <c:v>Total</c:v>
                  </c:pt>
                  <c:pt idx="15">
                    <c:v>Non-energy</c:v>
                  </c:pt>
                  <c:pt idx="16">
                    <c:v>Total</c:v>
                  </c:pt>
                  <c:pt idx="17">
                    <c:v>Non-energy</c:v>
                  </c:pt>
                  <c:pt idx="18">
                    <c:v>Total</c:v>
                  </c:pt>
                  <c:pt idx="19">
                    <c:v>Non-energy</c:v>
                  </c:pt>
                  <c:pt idx="20">
                    <c:v>Total</c:v>
                  </c:pt>
                  <c:pt idx="21">
                    <c:v>Non-energy</c:v>
                  </c:pt>
                </c:lvl>
                <c:lvl>
                  <c:pt idx="0">
                    <c:v>ADP</c:v>
                  </c:pt>
                  <c:pt idx="2">
                    <c:v>ADPF</c:v>
                  </c:pt>
                  <c:pt idx="4">
                    <c:v>GWP</c:v>
                  </c:pt>
                  <c:pt idx="6">
                    <c:v>ODP</c:v>
                  </c:pt>
                  <c:pt idx="8">
                    <c:v>POP</c:v>
                  </c:pt>
                  <c:pt idx="10">
                    <c:v>AP</c:v>
                  </c:pt>
                  <c:pt idx="12">
                    <c:v>EP</c:v>
                  </c:pt>
                  <c:pt idx="14">
                    <c:v>CED</c:v>
                  </c:pt>
                  <c:pt idx="16">
                    <c:v>HTC</c:v>
                  </c:pt>
                  <c:pt idx="18">
                    <c:v>HTNC</c:v>
                  </c:pt>
                  <c:pt idx="20">
                    <c:v>FET</c:v>
                  </c:pt>
                </c:lvl>
              </c:multiLvlStrCache>
            </c:multiLvlStrRef>
          </c:cat>
          <c:val>
            <c:numRef>
              <c:f>ResultsTripleCation!$C$40:$X$40</c:f>
              <c:numCache>
                <c:formatCode>0.0000%</c:formatCode>
                <c:ptCount val="22"/>
                <c:pt idx="0">
                  <c:v>0.919479161326417</c:v>
                </c:pt>
                <c:pt idx="1">
                  <c:v>0.905866623946897</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numCache>
            </c:numRef>
          </c:val>
          <c:extLst xmlns:c16r2="http://schemas.microsoft.com/office/drawing/2015/06/chart">
            <c:ext xmlns:c16="http://schemas.microsoft.com/office/drawing/2014/chart" uri="{C3380CC4-5D6E-409C-BE32-E72D297353CC}">
              <c16:uniqueId val="{00000000-9A45-4DA1-AB45-9437E3AD744E}"/>
            </c:ext>
          </c:extLst>
        </c:ser>
        <c:ser>
          <c:idx val="1"/>
          <c:order val="1"/>
          <c:tx>
            <c:strRef>
              <c:f>ResultsTripleCation!$B$41</c:f>
              <c:strCache>
                <c:ptCount val="1"/>
                <c:pt idx="0">
                  <c:v>x = 0.05</c:v>
                </c:pt>
              </c:strCache>
            </c:strRef>
          </c:tx>
          <c:spPr>
            <a:solidFill>
              <a:srgbClr val="00B0F0"/>
            </a:solidFill>
          </c:spPr>
          <c:invertIfNegative val="0"/>
          <c:cat>
            <c:multiLvlStrRef>
              <c:f>ResultsTripleCation!$C$38:$X$39</c:f>
              <c:multiLvlStrCache>
                <c:ptCount val="22"/>
                <c:lvl>
                  <c:pt idx="0">
                    <c:v>Total</c:v>
                  </c:pt>
                  <c:pt idx="1">
                    <c:v>Non-energy</c:v>
                  </c:pt>
                  <c:pt idx="2">
                    <c:v>Total</c:v>
                  </c:pt>
                  <c:pt idx="3">
                    <c:v>Non-energy</c:v>
                  </c:pt>
                  <c:pt idx="4">
                    <c:v>Total</c:v>
                  </c:pt>
                  <c:pt idx="5">
                    <c:v>Non-energy</c:v>
                  </c:pt>
                  <c:pt idx="6">
                    <c:v>Total</c:v>
                  </c:pt>
                  <c:pt idx="7">
                    <c:v>Non-energy</c:v>
                  </c:pt>
                  <c:pt idx="8">
                    <c:v>Total</c:v>
                  </c:pt>
                  <c:pt idx="9">
                    <c:v>Non-energy</c:v>
                  </c:pt>
                  <c:pt idx="10">
                    <c:v>Total</c:v>
                  </c:pt>
                  <c:pt idx="11">
                    <c:v>Non-energy</c:v>
                  </c:pt>
                  <c:pt idx="12">
                    <c:v>Total</c:v>
                  </c:pt>
                  <c:pt idx="13">
                    <c:v>Non-energy</c:v>
                  </c:pt>
                  <c:pt idx="14">
                    <c:v>Total</c:v>
                  </c:pt>
                  <c:pt idx="15">
                    <c:v>Non-energy</c:v>
                  </c:pt>
                  <c:pt idx="16">
                    <c:v>Total</c:v>
                  </c:pt>
                  <c:pt idx="17">
                    <c:v>Non-energy</c:v>
                  </c:pt>
                  <c:pt idx="18">
                    <c:v>Total</c:v>
                  </c:pt>
                  <c:pt idx="19">
                    <c:v>Non-energy</c:v>
                  </c:pt>
                  <c:pt idx="20">
                    <c:v>Total</c:v>
                  </c:pt>
                  <c:pt idx="21">
                    <c:v>Non-energy</c:v>
                  </c:pt>
                </c:lvl>
                <c:lvl>
                  <c:pt idx="0">
                    <c:v>ADP</c:v>
                  </c:pt>
                  <c:pt idx="2">
                    <c:v>ADPF</c:v>
                  </c:pt>
                  <c:pt idx="4">
                    <c:v>GWP</c:v>
                  </c:pt>
                  <c:pt idx="6">
                    <c:v>ODP</c:v>
                  </c:pt>
                  <c:pt idx="8">
                    <c:v>POP</c:v>
                  </c:pt>
                  <c:pt idx="10">
                    <c:v>AP</c:v>
                  </c:pt>
                  <c:pt idx="12">
                    <c:v>EP</c:v>
                  </c:pt>
                  <c:pt idx="14">
                    <c:v>CED</c:v>
                  </c:pt>
                  <c:pt idx="16">
                    <c:v>HTC</c:v>
                  </c:pt>
                  <c:pt idx="18">
                    <c:v>HTNC</c:v>
                  </c:pt>
                  <c:pt idx="20">
                    <c:v>FET</c:v>
                  </c:pt>
                </c:lvl>
              </c:multiLvlStrCache>
            </c:multiLvlStrRef>
          </c:cat>
          <c:val>
            <c:numRef>
              <c:f>ResultsTripleCation!$C$41:$X$41</c:f>
              <c:numCache>
                <c:formatCode>0.0000%</c:formatCode>
                <c:ptCount val="22"/>
                <c:pt idx="0">
                  <c:v>0.919280612427879</c:v>
                </c:pt>
                <c:pt idx="1">
                  <c:v>0.905638908610149</c:v>
                </c:pt>
                <c:pt idx="2">
                  <c:v>0.999037501079498</c:v>
                </c:pt>
                <c:pt idx="3">
                  <c:v>0.991172226565025</c:v>
                </c:pt>
                <c:pt idx="4">
                  <c:v>0.999097277472204</c:v>
                </c:pt>
                <c:pt idx="5">
                  <c:v>0.988840465070576</c:v>
                </c:pt>
                <c:pt idx="6">
                  <c:v>0.999119543753017</c:v>
                </c:pt>
                <c:pt idx="7">
                  <c:v>0.996605222021108</c:v>
                </c:pt>
                <c:pt idx="8">
                  <c:v>0.994824388741441</c:v>
                </c:pt>
                <c:pt idx="9">
                  <c:v>0.984877177595703</c:v>
                </c:pt>
                <c:pt idx="10">
                  <c:v>0.999124694150633</c:v>
                </c:pt>
                <c:pt idx="11">
                  <c:v>0.98904416061765</c:v>
                </c:pt>
                <c:pt idx="12">
                  <c:v>0.998573256296497</c:v>
                </c:pt>
                <c:pt idx="13">
                  <c:v>0.990389906361432</c:v>
                </c:pt>
                <c:pt idx="14">
                  <c:v>0.999078771895837</c:v>
                </c:pt>
                <c:pt idx="15">
                  <c:v>0.989478334226454</c:v>
                </c:pt>
                <c:pt idx="16">
                  <c:v>0.999135438673998</c:v>
                </c:pt>
                <c:pt idx="17">
                  <c:v>0.989756595049574</c:v>
                </c:pt>
                <c:pt idx="18">
                  <c:v>0.999025839279918</c:v>
                </c:pt>
                <c:pt idx="19">
                  <c:v>0.990396807586857</c:v>
                </c:pt>
                <c:pt idx="20">
                  <c:v>0.999135813881373</c:v>
                </c:pt>
                <c:pt idx="21">
                  <c:v>0.992308224207186</c:v>
                </c:pt>
              </c:numCache>
            </c:numRef>
          </c:val>
          <c:extLst xmlns:c16r2="http://schemas.microsoft.com/office/drawing/2015/06/chart">
            <c:ext xmlns:c16="http://schemas.microsoft.com/office/drawing/2014/chart" uri="{C3380CC4-5D6E-409C-BE32-E72D297353CC}">
              <c16:uniqueId val="{00000001-9A45-4DA1-AB45-9437E3AD744E}"/>
            </c:ext>
          </c:extLst>
        </c:ser>
        <c:ser>
          <c:idx val="2"/>
          <c:order val="2"/>
          <c:tx>
            <c:strRef>
              <c:f>ResultsTripleCation!$B$42</c:f>
              <c:strCache>
                <c:ptCount val="1"/>
                <c:pt idx="0">
                  <c:v>x = 0.10</c:v>
                </c:pt>
              </c:strCache>
            </c:strRef>
          </c:tx>
          <c:spPr>
            <a:solidFill>
              <a:srgbClr val="FFC000"/>
            </a:solidFill>
          </c:spPr>
          <c:invertIfNegative val="0"/>
          <c:cat>
            <c:multiLvlStrRef>
              <c:f>ResultsTripleCation!$C$38:$X$39</c:f>
              <c:multiLvlStrCache>
                <c:ptCount val="22"/>
                <c:lvl>
                  <c:pt idx="0">
                    <c:v>Total</c:v>
                  </c:pt>
                  <c:pt idx="1">
                    <c:v>Non-energy</c:v>
                  </c:pt>
                  <c:pt idx="2">
                    <c:v>Total</c:v>
                  </c:pt>
                  <c:pt idx="3">
                    <c:v>Non-energy</c:v>
                  </c:pt>
                  <c:pt idx="4">
                    <c:v>Total</c:v>
                  </c:pt>
                  <c:pt idx="5">
                    <c:v>Non-energy</c:v>
                  </c:pt>
                  <c:pt idx="6">
                    <c:v>Total</c:v>
                  </c:pt>
                  <c:pt idx="7">
                    <c:v>Non-energy</c:v>
                  </c:pt>
                  <c:pt idx="8">
                    <c:v>Total</c:v>
                  </c:pt>
                  <c:pt idx="9">
                    <c:v>Non-energy</c:v>
                  </c:pt>
                  <c:pt idx="10">
                    <c:v>Total</c:v>
                  </c:pt>
                  <c:pt idx="11">
                    <c:v>Non-energy</c:v>
                  </c:pt>
                  <c:pt idx="12">
                    <c:v>Total</c:v>
                  </c:pt>
                  <c:pt idx="13">
                    <c:v>Non-energy</c:v>
                  </c:pt>
                  <c:pt idx="14">
                    <c:v>Total</c:v>
                  </c:pt>
                  <c:pt idx="15">
                    <c:v>Non-energy</c:v>
                  </c:pt>
                  <c:pt idx="16">
                    <c:v>Total</c:v>
                  </c:pt>
                  <c:pt idx="17">
                    <c:v>Non-energy</c:v>
                  </c:pt>
                  <c:pt idx="18">
                    <c:v>Total</c:v>
                  </c:pt>
                  <c:pt idx="19">
                    <c:v>Non-energy</c:v>
                  </c:pt>
                  <c:pt idx="20">
                    <c:v>Total</c:v>
                  </c:pt>
                  <c:pt idx="21">
                    <c:v>Non-energy</c:v>
                  </c:pt>
                </c:lvl>
                <c:lvl>
                  <c:pt idx="0">
                    <c:v>ADP</c:v>
                  </c:pt>
                  <c:pt idx="2">
                    <c:v>ADPF</c:v>
                  </c:pt>
                  <c:pt idx="4">
                    <c:v>GWP</c:v>
                  </c:pt>
                  <c:pt idx="6">
                    <c:v>ODP</c:v>
                  </c:pt>
                  <c:pt idx="8">
                    <c:v>POP</c:v>
                  </c:pt>
                  <c:pt idx="10">
                    <c:v>AP</c:v>
                  </c:pt>
                  <c:pt idx="12">
                    <c:v>EP</c:v>
                  </c:pt>
                  <c:pt idx="14">
                    <c:v>CED</c:v>
                  </c:pt>
                  <c:pt idx="16">
                    <c:v>HTC</c:v>
                  </c:pt>
                  <c:pt idx="18">
                    <c:v>HTNC</c:v>
                  </c:pt>
                  <c:pt idx="20">
                    <c:v>FET</c:v>
                  </c:pt>
                </c:lvl>
              </c:multiLvlStrCache>
            </c:multiLvlStrRef>
          </c:cat>
          <c:val>
            <c:numRef>
              <c:f>ResultsTripleCation!$C$42:$X$42</c:f>
              <c:numCache>
                <c:formatCode>0.0000%</c:formatCode>
                <c:ptCount val="22"/>
                <c:pt idx="0">
                  <c:v>0.919082063529337</c:v>
                </c:pt>
                <c:pt idx="1">
                  <c:v>0.905411193273399</c:v>
                </c:pt>
                <c:pt idx="2">
                  <c:v>0.998075002158998</c:v>
                </c:pt>
                <c:pt idx="3">
                  <c:v>0.98234445313005</c:v>
                </c:pt>
                <c:pt idx="4">
                  <c:v>0.998194554944408</c:v>
                </c:pt>
                <c:pt idx="5">
                  <c:v>0.97768093014115</c:v>
                </c:pt>
                <c:pt idx="6">
                  <c:v>0.998239087506034</c:v>
                </c:pt>
                <c:pt idx="7">
                  <c:v>0.993210444042213</c:v>
                </c:pt>
                <c:pt idx="8">
                  <c:v>0.989648777482884</c:v>
                </c:pt>
                <c:pt idx="9">
                  <c:v>0.969754355191405</c:v>
                </c:pt>
                <c:pt idx="10">
                  <c:v>0.998249388301266</c:v>
                </c:pt>
                <c:pt idx="11">
                  <c:v>0.978088321235301</c:v>
                </c:pt>
                <c:pt idx="12">
                  <c:v>0.997146512592992</c:v>
                </c:pt>
                <c:pt idx="13">
                  <c:v>0.980779812722866</c:v>
                </c:pt>
                <c:pt idx="14">
                  <c:v>0.998157543791674</c:v>
                </c:pt>
                <c:pt idx="15">
                  <c:v>0.978956668452907</c:v>
                </c:pt>
                <c:pt idx="16">
                  <c:v>0.998270877347995</c:v>
                </c:pt>
                <c:pt idx="17">
                  <c:v>0.979513190099147</c:v>
                </c:pt>
                <c:pt idx="18">
                  <c:v>0.998051678559836</c:v>
                </c:pt>
                <c:pt idx="19">
                  <c:v>0.980793615173715</c:v>
                </c:pt>
                <c:pt idx="20">
                  <c:v>0.998271627762744</c:v>
                </c:pt>
                <c:pt idx="21">
                  <c:v>0.984616448414372</c:v>
                </c:pt>
              </c:numCache>
            </c:numRef>
          </c:val>
          <c:extLst xmlns:c16r2="http://schemas.microsoft.com/office/drawing/2015/06/chart">
            <c:ext xmlns:c16="http://schemas.microsoft.com/office/drawing/2014/chart" uri="{C3380CC4-5D6E-409C-BE32-E72D297353CC}">
              <c16:uniqueId val="{00000002-9A45-4DA1-AB45-9437E3AD744E}"/>
            </c:ext>
          </c:extLst>
        </c:ser>
        <c:ser>
          <c:idx val="3"/>
          <c:order val="3"/>
          <c:tx>
            <c:strRef>
              <c:f>ResultsTripleCation!$B$43</c:f>
              <c:strCache>
                <c:ptCount val="1"/>
                <c:pt idx="0">
                  <c:v>x = 0.15</c:v>
                </c:pt>
              </c:strCache>
            </c:strRef>
          </c:tx>
          <c:spPr>
            <a:solidFill>
              <a:srgbClr val="002060"/>
            </a:solidFill>
          </c:spPr>
          <c:invertIfNegative val="0"/>
          <c:cat>
            <c:multiLvlStrRef>
              <c:f>ResultsTripleCation!$C$38:$X$39</c:f>
              <c:multiLvlStrCache>
                <c:ptCount val="22"/>
                <c:lvl>
                  <c:pt idx="0">
                    <c:v>Total</c:v>
                  </c:pt>
                  <c:pt idx="1">
                    <c:v>Non-energy</c:v>
                  </c:pt>
                  <c:pt idx="2">
                    <c:v>Total</c:v>
                  </c:pt>
                  <c:pt idx="3">
                    <c:v>Non-energy</c:v>
                  </c:pt>
                  <c:pt idx="4">
                    <c:v>Total</c:v>
                  </c:pt>
                  <c:pt idx="5">
                    <c:v>Non-energy</c:v>
                  </c:pt>
                  <c:pt idx="6">
                    <c:v>Total</c:v>
                  </c:pt>
                  <c:pt idx="7">
                    <c:v>Non-energy</c:v>
                  </c:pt>
                  <c:pt idx="8">
                    <c:v>Total</c:v>
                  </c:pt>
                  <c:pt idx="9">
                    <c:v>Non-energy</c:v>
                  </c:pt>
                  <c:pt idx="10">
                    <c:v>Total</c:v>
                  </c:pt>
                  <c:pt idx="11">
                    <c:v>Non-energy</c:v>
                  </c:pt>
                  <c:pt idx="12">
                    <c:v>Total</c:v>
                  </c:pt>
                  <c:pt idx="13">
                    <c:v>Non-energy</c:v>
                  </c:pt>
                  <c:pt idx="14">
                    <c:v>Total</c:v>
                  </c:pt>
                  <c:pt idx="15">
                    <c:v>Non-energy</c:v>
                  </c:pt>
                  <c:pt idx="16">
                    <c:v>Total</c:v>
                  </c:pt>
                  <c:pt idx="17">
                    <c:v>Non-energy</c:v>
                  </c:pt>
                  <c:pt idx="18">
                    <c:v>Total</c:v>
                  </c:pt>
                  <c:pt idx="19">
                    <c:v>Non-energy</c:v>
                  </c:pt>
                  <c:pt idx="20">
                    <c:v>Total</c:v>
                  </c:pt>
                  <c:pt idx="21">
                    <c:v>Non-energy</c:v>
                  </c:pt>
                </c:lvl>
                <c:lvl>
                  <c:pt idx="0">
                    <c:v>ADP</c:v>
                  </c:pt>
                  <c:pt idx="2">
                    <c:v>ADPF</c:v>
                  </c:pt>
                  <c:pt idx="4">
                    <c:v>GWP</c:v>
                  </c:pt>
                  <c:pt idx="6">
                    <c:v>ODP</c:v>
                  </c:pt>
                  <c:pt idx="8">
                    <c:v>POP</c:v>
                  </c:pt>
                  <c:pt idx="10">
                    <c:v>AP</c:v>
                  </c:pt>
                  <c:pt idx="12">
                    <c:v>EP</c:v>
                  </c:pt>
                  <c:pt idx="14">
                    <c:v>CED</c:v>
                  </c:pt>
                  <c:pt idx="16">
                    <c:v>HTC</c:v>
                  </c:pt>
                  <c:pt idx="18">
                    <c:v>HTNC</c:v>
                  </c:pt>
                  <c:pt idx="20">
                    <c:v>FET</c:v>
                  </c:pt>
                </c:lvl>
              </c:multiLvlStrCache>
            </c:multiLvlStrRef>
          </c:cat>
          <c:val>
            <c:numRef>
              <c:f>ResultsTripleCation!$C$43:$X$43</c:f>
              <c:numCache>
                <c:formatCode>0.0000%</c:formatCode>
                <c:ptCount val="22"/>
                <c:pt idx="0">
                  <c:v>0.918883514630798</c:v>
                </c:pt>
                <c:pt idx="1">
                  <c:v>0.905183477936649</c:v>
                </c:pt>
                <c:pt idx="2">
                  <c:v>0.997112503238495</c:v>
                </c:pt>
                <c:pt idx="3">
                  <c:v>0.973516679695075</c:v>
                </c:pt>
                <c:pt idx="4">
                  <c:v>0.997291832416613</c:v>
                </c:pt>
                <c:pt idx="5">
                  <c:v>0.966521395211725</c:v>
                </c:pt>
                <c:pt idx="6">
                  <c:v>0.997358631259051</c:v>
                </c:pt>
                <c:pt idx="7">
                  <c:v>0.989815666063321</c:v>
                </c:pt>
                <c:pt idx="8">
                  <c:v>0.984473166224325</c:v>
                </c:pt>
                <c:pt idx="9">
                  <c:v>0.954631532787107</c:v>
                </c:pt>
                <c:pt idx="10">
                  <c:v>0.997374082451901</c:v>
                </c:pt>
                <c:pt idx="11">
                  <c:v>0.967132481852951</c:v>
                </c:pt>
                <c:pt idx="12">
                  <c:v>0.995719768889488</c:v>
                </c:pt>
                <c:pt idx="13">
                  <c:v>0.971169719084297</c:v>
                </c:pt>
                <c:pt idx="14">
                  <c:v>0.997236315687512</c:v>
                </c:pt>
                <c:pt idx="15">
                  <c:v>0.968435002679363</c:v>
                </c:pt>
                <c:pt idx="16">
                  <c:v>0.997406316021992</c:v>
                </c:pt>
                <c:pt idx="17">
                  <c:v>0.969269785148722</c:v>
                </c:pt>
                <c:pt idx="18">
                  <c:v>0.997077517839753</c:v>
                </c:pt>
                <c:pt idx="19">
                  <c:v>0.971190422760573</c:v>
                </c:pt>
                <c:pt idx="20">
                  <c:v>0.997407441644116</c:v>
                </c:pt>
                <c:pt idx="21">
                  <c:v>0.976924672621559</c:v>
                </c:pt>
              </c:numCache>
            </c:numRef>
          </c:val>
          <c:extLst xmlns:c16r2="http://schemas.microsoft.com/office/drawing/2015/06/chart">
            <c:ext xmlns:c16="http://schemas.microsoft.com/office/drawing/2014/chart" uri="{C3380CC4-5D6E-409C-BE32-E72D297353CC}">
              <c16:uniqueId val="{00000003-9A45-4DA1-AB45-9437E3AD744E}"/>
            </c:ext>
          </c:extLst>
        </c:ser>
        <c:ser>
          <c:idx val="4"/>
          <c:order val="4"/>
          <c:tx>
            <c:strRef>
              <c:f>ResultsTripleCation!$B$44</c:f>
              <c:strCache>
                <c:ptCount val="1"/>
                <c:pt idx="0">
                  <c:v>Canonical</c:v>
                </c:pt>
              </c:strCache>
            </c:strRef>
          </c:tx>
          <c:spPr>
            <a:pattFill prst="pct90">
              <a:fgClr>
                <a:srgbClr val="FF0000"/>
              </a:fgClr>
              <a:bgClr>
                <a:schemeClr val="bg1"/>
              </a:bgClr>
            </a:pattFill>
          </c:spPr>
          <c:invertIfNegative val="0"/>
          <c:cat>
            <c:multiLvlStrRef>
              <c:f>ResultsTripleCation!$C$38:$X$39</c:f>
              <c:multiLvlStrCache>
                <c:ptCount val="22"/>
                <c:lvl>
                  <c:pt idx="0">
                    <c:v>Total</c:v>
                  </c:pt>
                  <c:pt idx="1">
                    <c:v>Non-energy</c:v>
                  </c:pt>
                  <c:pt idx="2">
                    <c:v>Total</c:v>
                  </c:pt>
                  <c:pt idx="3">
                    <c:v>Non-energy</c:v>
                  </c:pt>
                  <c:pt idx="4">
                    <c:v>Total</c:v>
                  </c:pt>
                  <c:pt idx="5">
                    <c:v>Non-energy</c:v>
                  </c:pt>
                  <c:pt idx="6">
                    <c:v>Total</c:v>
                  </c:pt>
                  <c:pt idx="7">
                    <c:v>Non-energy</c:v>
                  </c:pt>
                  <c:pt idx="8">
                    <c:v>Total</c:v>
                  </c:pt>
                  <c:pt idx="9">
                    <c:v>Non-energy</c:v>
                  </c:pt>
                  <c:pt idx="10">
                    <c:v>Total</c:v>
                  </c:pt>
                  <c:pt idx="11">
                    <c:v>Non-energy</c:v>
                  </c:pt>
                  <c:pt idx="12">
                    <c:v>Total</c:v>
                  </c:pt>
                  <c:pt idx="13">
                    <c:v>Non-energy</c:v>
                  </c:pt>
                  <c:pt idx="14">
                    <c:v>Total</c:v>
                  </c:pt>
                  <c:pt idx="15">
                    <c:v>Non-energy</c:v>
                  </c:pt>
                  <c:pt idx="16">
                    <c:v>Total</c:v>
                  </c:pt>
                  <c:pt idx="17">
                    <c:v>Non-energy</c:v>
                  </c:pt>
                  <c:pt idx="18">
                    <c:v>Total</c:v>
                  </c:pt>
                  <c:pt idx="19">
                    <c:v>Non-energy</c:v>
                  </c:pt>
                  <c:pt idx="20">
                    <c:v>Total</c:v>
                  </c:pt>
                  <c:pt idx="21">
                    <c:v>Non-energy</c:v>
                  </c:pt>
                </c:lvl>
                <c:lvl>
                  <c:pt idx="0">
                    <c:v>ADP</c:v>
                  </c:pt>
                  <c:pt idx="2">
                    <c:v>ADPF</c:v>
                  </c:pt>
                  <c:pt idx="4">
                    <c:v>GWP</c:v>
                  </c:pt>
                  <c:pt idx="6">
                    <c:v>ODP</c:v>
                  </c:pt>
                  <c:pt idx="8">
                    <c:v>POP</c:v>
                  </c:pt>
                  <c:pt idx="10">
                    <c:v>AP</c:v>
                  </c:pt>
                  <c:pt idx="12">
                    <c:v>EP</c:v>
                  </c:pt>
                  <c:pt idx="14">
                    <c:v>CED</c:v>
                  </c:pt>
                  <c:pt idx="16">
                    <c:v>HTC</c:v>
                  </c:pt>
                  <c:pt idx="18">
                    <c:v>HTNC</c:v>
                  </c:pt>
                  <c:pt idx="20">
                    <c:v>FET</c:v>
                  </c:pt>
                </c:lvl>
              </c:multiLvlStrCache>
            </c:multiLvlStrRef>
          </c:cat>
          <c:val>
            <c:numRef>
              <c:f>ResultsTripleCation!$C$44:$X$44</c:f>
              <c:numCache>
                <c:formatCode>0.0000%</c:formatCode>
                <c:ptCount val="22"/>
                <c:pt idx="0">
                  <c:v>1.0</c:v>
                </c:pt>
                <c:pt idx="1">
                  <c:v>1.0</c:v>
                </c:pt>
                <c:pt idx="2">
                  <c:v>0.920946362846094</c:v>
                </c:pt>
                <c:pt idx="3">
                  <c:v>0.373002617481061</c:v>
                </c:pt>
                <c:pt idx="4">
                  <c:v>0.949030431666724</c:v>
                </c:pt>
                <c:pt idx="5">
                  <c:v>0.506254784156498</c:v>
                </c:pt>
                <c:pt idx="6">
                  <c:v>0.771256829242623</c:v>
                </c:pt>
                <c:pt idx="7">
                  <c:v>0.152302660485461</c:v>
                </c:pt>
                <c:pt idx="8">
                  <c:v>0.751571432298939</c:v>
                </c:pt>
                <c:pt idx="9">
                  <c:v>0.297170055086093</c:v>
                </c:pt>
                <c:pt idx="10">
                  <c:v>0.950394337950666</c:v>
                </c:pt>
                <c:pt idx="11">
                  <c:v>0.517305563789339</c:v>
                </c:pt>
                <c:pt idx="12">
                  <c:v>0.879895001982848</c:v>
                </c:pt>
                <c:pt idx="13">
                  <c:v>0.259838977673061</c:v>
                </c:pt>
                <c:pt idx="14">
                  <c:v>0.940511356699523</c:v>
                </c:pt>
                <c:pt idx="15">
                  <c:v>0.445615729927208</c:v>
                </c:pt>
                <c:pt idx="16">
                  <c:v>0.942514153034438</c:v>
                </c:pt>
                <c:pt idx="17">
                  <c:v>0.449079352073653</c:v>
                </c:pt>
                <c:pt idx="18">
                  <c:v>0.935198195964161</c:v>
                </c:pt>
                <c:pt idx="19">
                  <c:v>0.467484366938568</c:v>
                </c:pt>
                <c:pt idx="20">
                  <c:v>0.918732313451548</c:v>
                </c:pt>
                <c:pt idx="21">
                  <c:v>0.37147596295159</c:v>
                </c:pt>
              </c:numCache>
            </c:numRef>
          </c:val>
          <c:extLst xmlns:c16r2="http://schemas.microsoft.com/office/drawing/2015/06/chart">
            <c:ext xmlns:c16="http://schemas.microsoft.com/office/drawing/2014/chart" uri="{C3380CC4-5D6E-409C-BE32-E72D297353CC}">
              <c16:uniqueId val="{00000004-9A45-4DA1-AB45-9437E3AD744E}"/>
            </c:ext>
          </c:extLst>
        </c:ser>
        <c:dLbls>
          <c:showLegendKey val="0"/>
          <c:showVal val="0"/>
          <c:showCatName val="0"/>
          <c:showSerName val="0"/>
          <c:showPercent val="0"/>
          <c:showBubbleSize val="0"/>
        </c:dLbls>
        <c:gapWidth val="150"/>
        <c:axId val="2071136688"/>
        <c:axId val="2071235184"/>
      </c:barChart>
      <c:catAx>
        <c:axId val="2071136688"/>
        <c:scaling>
          <c:orientation val="minMax"/>
        </c:scaling>
        <c:delete val="0"/>
        <c:axPos val="b"/>
        <c:numFmt formatCode="@" sourceLinked="0"/>
        <c:majorTickMark val="out"/>
        <c:minorTickMark val="none"/>
        <c:tickLblPos val="nextTo"/>
        <c:txPr>
          <a:bodyPr/>
          <a:lstStyle/>
          <a:p>
            <a:pPr>
              <a:defRPr sz="800"/>
            </a:pPr>
            <a:endParaRPr lang="es-ES_tradnl"/>
          </a:p>
        </c:txPr>
        <c:crossAx val="2071235184"/>
        <c:crosses val="autoZero"/>
        <c:auto val="1"/>
        <c:lblAlgn val="ctr"/>
        <c:lblOffset val="100"/>
        <c:noMultiLvlLbl val="0"/>
      </c:catAx>
      <c:valAx>
        <c:axId val="2071235184"/>
        <c:scaling>
          <c:orientation val="minMax"/>
          <c:max val="1.0"/>
          <c:min val="0.0"/>
        </c:scaling>
        <c:delete val="0"/>
        <c:axPos val="l"/>
        <c:majorGridlines/>
        <c:numFmt formatCode="0%" sourceLinked="0"/>
        <c:majorTickMark val="out"/>
        <c:minorTickMark val="none"/>
        <c:tickLblPos val="nextTo"/>
        <c:txPr>
          <a:bodyPr/>
          <a:lstStyle/>
          <a:p>
            <a:pPr>
              <a:defRPr sz="800"/>
            </a:pPr>
            <a:endParaRPr lang="es-ES_tradnl"/>
          </a:p>
        </c:txPr>
        <c:crossAx val="2071136688"/>
        <c:crosses val="autoZero"/>
        <c:crossBetween val="between"/>
      </c:valAx>
    </c:plotArea>
    <c:legend>
      <c:legendPos val="b"/>
      <c:overlay val="0"/>
      <c:txPr>
        <a:bodyPr/>
        <a:lstStyle/>
        <a:p>
          <a:pPr>
            <a:defRPr sz="800"/>
          </a:pPr>
          <a:endParaRPr lang="es-ES_tradnl"/>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ResultsTripleCation!$B$93</c:f>
              <c:strCache>
                <c:ptCount val="1"/>
                <c:pt idx="0">
                  <c:v>CsI</c:v>
                </c:pt>
              </c:strCache>
            </c:strRef>
          </c:tx>
          <c:spPr>
            <a:solidFill>
              <a:srgbClr val="7030A0"/>
            </a:solid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(ResultsTripleCation!$C$93:$G$93,ResultsTripleCation!$M$93:$Q$93,ResultsTripleCation!$AL$93:$AZ$93)</c:f>
              <c:numCache>
                <c:formatCode>0.00000</c:formatCode>
                <c:ptCount val="20"/>
                <c:pt idx="0">
                  <c:v>0.0</c:v>
                </c:pt>
                <c:pt idx="1">
                  <c:v>0.000611464272075589</c:v>
                </c:pt>
                <c:pt idx="2">
                  <c:v>0.00122292854415118</c:v>
                </c:pt>
                <c:pt idx="3">
                  <c:v>0.00183439281622677</c:v>
                </c:pt>
                <c:pt idx="5">
                  <c:v>0.0</c:v>
                </c:pt>
                <c:pt idx="6">
                  <c:v>0.000347808342955617</c:v>
                </c:pt>
                <c:pt idx="7">
                  <c:v>0.000695616685911233</c:v>
                </c:pt>
                <c:pt idx="8">
                  <c:v>0.00104342502886685</c:v>
                </c:pt>
                <c:pt idx="10">
                  <c:v>0.0</c:v>
                </c:pt>
                <c:pt idx="11">
                  <c:v>0.000196618651351267</c:v>
                </c:pt>
                <c:pt idx="12">
                  <c:v>0.000393237302702535</c:v>
                </c:pt>
                <c:pt idx="13">
                  <c:v>0.000589855954053803</c:v>
                </c:pt>
                <c:pt idx="15">
                  <c:v>0.0</c:v>
                </c:pt>
                <c:pt idx="16">
                  <c:v>0.000284924426005453</c:v>
                </c:pt>
                <c:pt idx="17">
                  <c:v>0.000569848852010905</c:v>
                </c:pt>
                <c:pt idx="18">
                  <c:v>0.000854773278016358</c:v>
                </c:pt>
              </c:numCache>
            </c:numRef>
          </c:val>
          <c:extLst xmlns:c16r2="http://schemas.microsoft.com/office/drawing/2015/06/chart">
            <c:ext xmlns:c16="http://schemas.microsoft.com/office/drawing/2014/chart" uri="{C3380CC4-5D6E-409C-BE32-E72D297353CC}">
              <c16:uniqueId val="{00000000-DA30-4E36-B524-FDD528A3F76A}"/>
            </c:ext>
          </c:extLst>
        </c:ser>
        <c:ser>
          <c:idx val="2"/>
          <c:order val="1"/>
          <c:tx>
            <c:strRef>
              <c:f>ResultsTripleCation!$B$94</c:f>
              <c:strCache>
                <c:ptCount val="1"/>
                <c:pt idx="0">
                  <c:v>FAI</c:v>
                </c:pt>
              </c:strCache>
            </c:strRef>
          </c:tx>
          <c:spPr>
            <a:solidFill>
              <a:srgbClr val="00B0F0"/>
            </a:solid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(ResultsTripleCation!$C$94:$G$94,ResultsTripleCation!$M$94:$Q$94,ResultsTripleCation!$AL$94:$AZ$94)</c:f>
              <c:numCache>
                <c:formatCode>0.00000</c:formatCode>
                <c:ptCount val="20"/>
                <c:pt idx="0">
                  <c:v>0.204805965604924</c:v>
                </c:pt>
                <c:pt idx="1">
                  <c:v>0.194565667324678</c:v>
                </c:pt>
                <c:pt idx="2">
                  <c:v>0.184325369044432</c:v>
                </c:pt>
                <c:pt idx="3">
                  <c:v>0.174085070764185</c:v>
                </c:pt>
                <c:pt idx="5">
                  <c:v>0.184581001722307</c:v>
                </c:pt>
                <c:pt idx="6">
                  <c:v>0.175351951636192</c:v>
                </c:pt>
                <c:pt idx="7">
                  <c:v>0.166122901550077</c:v>
                </c:pt>
                <c:pt idx="8">
                  <c:v>0.156893851463961</c:v>
                </c:pt>
                <c:pt idx="10">
                  <c:v>0.223060936563522</c:v>
                </c:pt>
                <c:pt idx="11">
                  <c:v>0.211907889735346</c:v>
                </c:pt>
                <c:pt idx="12">
                  <c:v>0.20075484290717</c:v>
                </c:pt>
                <c:pt idx="13">
                  <c:v>0.189601796078994</c:v>
                </c:pt>
                <c:pt idx="15">
                  <c:v>0.179170548359384</c:v>
                </c:pt>
                <c:pt idx="16">
                  <c:v>0.170212020941415</c:v>
                </c:pt>
                <c:pt idx="17">
                  <c:v>0.161253493523446</c:v>
                </c:pt>
                <c:pt idx="18">
                  <c:v>0.152294966105477</c:v>
                </c:pt>
              </c:numCache>
            </c:numRef>
          </c:val>
          <c:extLst xmlns:c16r2="http://schemas.microsoft.com/office/drawing/2015/06/chart">
            <c:ext xmlns:c16="http://schemas.microsoft.com/office/drawing/2014/chart" uri="{C3380CC4-5D6E-409C-BE32-E72D297353CC}">
              <c16:uniqueId val="{00000001-DA30-4E36-B524-FDD528A3F76A}"/>
            </c:ext>
          </c:extLst>
        </c:ser>
        <c:ser>
          <c:idx val="3"/>
          <c:order val="2"/>
          <c:tx>
            <c:strRef>
              <c:f>ResultsTripleCation!$B$95</c:f>
              <c:strCache>
                <c:ptCount val="1"/>
                <c:pt idx="0">
                  <c:v>MABr</c:v>
                </c:pt>
              </c:strCache>
            </c:strRef>
          </c:tx>
          <c:spPr>
            <a:solidFill>
              <a:srgbClr val="FFC000"/>
            </a:solid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(ResultsTripleCation!$C$95:$G$95,ResultsTripleCation!$M$95:$Q$95,ResultsTripleCation!$AL$95:$AZ$95)</c:f>
              <c:numCache>
                <c:formatCode>0.00000</c:formatCode>
                <c:ptCount val="20"/>
                <c:pt idx="0">
                  <c:v>0.019030795343141</c:v>
                </c:pt>
                <c:pt idx="1">
                  <c:v>0.018079255575984</c:v>
                </c:pt>
                <c:pt idx="2">
                  <c:v>0.0171277158088269</c:v>
                </c:pt>
                <c:pt idx="3">
                  <c:v>0.0161761760416699</c:v>
                </c:pt>
                <c:pt idx="5">
                  <c:v>0.0172184221133875</c:v>
                </c:pt>
                <c:pt idx="6">
                  <c:v>0.0163575010077181</c:v>
                </c:pt>
                <c:pt idx="7">
                  <c:v>0.0154965799020487</c:v>
                </c:pt>
                <c:pt idx="8">
                  <c:v>0.0146356587963794</c:v>
                </c:pt>
                <c:pt idx="10">
                  <c:v>0.021060718106702</c:v>
                </c:pt>
                <c:pt idx="11">
                  <c:v>0.0200076822013669</c:v>
                </c:pt>
                <c:pt idx="12">
                  <c:v>0.0189546462960318</c:v>
                </c:pt>
                <c:pt idx="13">
                  <c:v>0.0179016103906967</c:v>
                </c:pt>
                <c:pt idx="15">
                  <c:v>0.0167748931078028</c:v>
                </c:pt>
                <c:pt idx="16">
                  <c:v>0.0159361484524126</c:v>
                </c:pt>
                <c:pt idx="17">
                  <c:v>0.0150974037970225</c:v>
                </c:pt>
                <c:pt idx="18">
                  <c:v>0.0142586591416324</c:v>
                </c:pt>
              </c:numCache>
            </c:numRef>
          </c:val>
          <c:extLst xmlns:c16r2="http://schemas.microsoft.com/office/drawing/2015/06/chart">
            <c:ext xmlns:c16="http://schemas.microsoft.com/office/drawing/2014/chart" uri="{C3380CC4-5D6E-409C-BE32-E72D297353CC}">
              <c16:uniqueId val="{00000002-DA30-4E36-B524-FDD528A3F76A}"/>
            </c:ext>
          </c:extLst>
        </c:ser>
        <c:ser>
          <c:idx val="8"/>
          <c:order val="3"/>
          <c:tx>
            <c:strRef>
              <c:f>ResultsTripleCation!$B$96</c:f>
              <c:strCache>
                <c:ptCount val="1"/>
                <c:pt idx="0">
                  <c:v>MAI</c:v>
                </c:pt>
              </c:strCache>
            </c:strRef>
          </c:tx>
          <c:spPr>
            <a:solidFill>
              <a:schemeClr val="accent3">
                <a:lumMod val="40000"/>
                <a:lumOff val="60000"/>
              </a:schemeClr>
            </a:solidFill>
          </c:spPr>
          <c:invertIfNegative val="0"/>
          <c:cat>
            <c:strLit>
              <c:ptCount val="20"/>
              <c:pt idx="0">
                <c:v>GWP x = 0</c:v>
              </c:pt>
              <c:pt idx="1">
                <c:v>GWP x = 0.05</c:v>
              </c:pt>
              <c:pt idx="2">
                <c:v>GWP x = 0.10</c:v>
              </c:pt>
              <c:pt idx="3">
                <c:v>GWP x = 0.15</c:v>
              </c:pt>
              <c:pt idx="4">
                <c:v>GWP Canonical</c:v>
              </c:pt>
              <c:pt idx="5">
                <c:v>CED x = 0</c:v>
              </c:pt>
              <c:pt idx="6">
                <c:v>CED x = 0.05</c:v>
              </c:pt>
              <c:pt idx="7">
                <c:v>CED x = 0.10</c:v>
              </c:pt>
              <c:pt idx="8">
                <c:v>CED x = 0.15</c:v>
              </c:pt>
              <c:pt idx="9">
                <c:v>CED Canonical</c:v>
              </c:pt>
              <c:pt idx="10">
                <c:v>HTC x = 0</c:v>
              </c:pt>
              <c:pt idx="11">
                <c:v>HTC x = 0.05</c:v>
              </c:pt>
              <c:pt idx="12">
                <c:v>HTC x = 0.10</c:v>
              </c:pt>
              <c:pt idx="13">
                <c:v>HTC x = 0.15</c:v>
              </c:pt>
              <c:pt idx="14">
                <c:v>HTC Canonical</c:v>
              </c:pt>
              <c:pt idx="15">
                <c:v>HTNC x = 0</c:v>
              </c:pt>
              <c:pt idx="16">
                <c:v>HTNC x = 0.05</c:v>
              </c:pt>
              <c:pt idx="17">
                <c:v>HTNC x = 0.10</c:v>
              </c:pt>
              <c:pt idx="18">
                <c:v>HTNC x = 0.15</c:v>
              </c:pt>
              <c:pt idx="19">
                <c:v>HTNC Canonical</c:v>
              </c:pt>
              <c:extLst>
                <c:ext xmlns:c15="http://schemas.microsoft.com/office/drawing/2012/chart" uri="{02D57815-91ED-43cb-92C2-25804820EDAC}">
                  <c15:autoCat val="1"/>
                </c:ext>
              </c:extLst>
            </c:strLit>
          </c:cat>
          <c:val>
            <c:numRef>
              <c:f>(ResultsTripleCation!$C$96:$G$96,ResultsTripleCation!$M$96:$Q$96,ResultsTripleCation!$AL$96:$AZ$96)</c:f>
              <c:numCache>
                <c:formatCode>General</c:formatCode>
                <c:ptCount val="20"/>
                <c:pt idx="4" formatCode="0.00000">
                  <c:v>0.102093145820482</c:v>
                </c:pt>
                <c:pt idx="9" formatCode="0.00000">
                  <c:v>0.0913617102085589</c:v>
                </c:pt>
                <c:pt idx="14" formatCode="0.00000">
                  <c:v>0.110530335437014</c:v>
                </c:pt>
                <c:pt idx="19" formatCode="0.00000">
                  <c:v>0.0887066582761498</c:v>
                </c:pt>
              </c:numCache>
            </c:numRef>
          </c:val>
          <c:extLst xmlns:c16r2="http://schemas.microsoft.com/office/drawing/2015/06/chart">
            <c:ext xmlns:c16="http://schemas.microsoft.com/office/drawing/2014/chart" uri="{C3380CC4-5D6E-409C-BE32-E72D297353CC}">
              <c16:uniqueId val="{00000003-DA30-4E36-B524-FDD528A3F76A}"/>
            </c:ext>
          </c:extLst>
        </c:ser>
        <c:ser>
          <c:idx val="4"/>
          <c:order val="4"/>
          <c:tx>
            <c:strRef>
              <c:f>ResultsTripleCation!$B$97</c:f>
              <c:strCache>
                <c:ptCount val="1"/>
                <c:pt idx="0">
                  <c:v>PbI2</c:v>
                </c:pt>
              </c:strCache>
            </c:strRef>
          </c:tx>
          <c:spPr>
            <a:solidFill>
              <a:srgbClr val="002060"/>
            </a:solid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(ResultsTripleCation!$C$97:$G$97,ResultsTripleCation!$M$97:$Q$97,ResultsTripleCation!$AL$97:$AZ$97)</c:f>
              <c:numCache>
                <c:formatCode>0.00000</c:formatCode>
                <c:ptCount val="20"/>
                <c:pt idx="0">
                  <c:v>0.316370203188174</c:v>
                </c:pt>
                <c:pt idx="1">
                  <c:v>0.314750235280283</c:v>
                </c:pt>
                <c:pt idx="2">
                  <c:v>0.313130267372392</c:v>
                </c:pt>
                <c:pt idx="3">
                  <c:v>0.311510299464501</c:v>
                </c:pt>
                <c:pt idx="4">
                  <c:v>0.373065953260133</c:v>
                </c:pt>
                <c:pt idx="5">
                  <c:v>0.276038987706825</c:v>
                </c:pt>
                <c:pt idx="6">
                  <c:v>0.274625535058928</c:v>
                </c:pt>
                <c:pt idx="7">
                  <c:v>0.273212082411032</c:v>
                </c:pt>
                <c:pt idx="8">
                  <c:v>0.271798629763136</c:v>
                </c:pt>
                <c:pt idx="9">
                  <c:v>0.325507102274599</c:v>
                </c:pt>
                <c:pt idx="10">
                  <c:v>0.355438326715042</c:v>
                </c:pt>
                <c:pt idx="11">
                  <c:v>0.353618311186681</c:v>
                </c:pt>
                <c:pt idx="12">
                  <c:v>0.351798295658321</c:v>
                </c:pt>
                <c:pt idx="13">
                  <c:v>0.349978280129961</c:v>
                </c:pt>
                <c:pt idx="14">
                  <c:v>0.419135357390983</c:v>
                </c:pt>
                <c:pt idx="15">
                  <c:v>0.37658355105237</c:v>
                </c:pt>
                <c:pt idx="16">
                  <c:v>0.374655261784933</c:v>
                </c:pt>
                <c:pt idx="17">
                  <c:v>0.372726972517496</c:v>
                </c:pt>
                <c:pt idx="18">
                  <c:v>0.37079868325006</c:v>
                </c:pt>
                <c:pt idx="19">
                  <c:v>0.444069953616573</c:v>
                </c:pt>
              </c:numCache>
            </c:numRef>
          </c:val>
          <c:extLst xmlns:c16r2="http://schemas.microsoft.com/office/drawing/2015/06/chart">
            <c:ext xmlns:c16="http://schemas.microsoft.com/office/drawing/2014/chart" uri="{C3380CC4-5D6E-409C-BE32-E72D297353CC}">
              <c16:uniqueId val="{00000004-DA30-4E36-B524-FDD528A3F76A}"/>
            </c:ext>
          </c:extLst>
        </c:ser>
        <c:ser>
          <c:idx val="5"/>
          <c:order val="5"/>
          <c:tx>
            <c:strRef>
              <c:f>ResultsTripleCation!$B$98</c:f>
              <c:strCache>
                <c:ptCount val="1"/>
                <c:pt idx="0">
                  <c:v>PbBr2</c:v>
                </c:pt>
              </c:strCache>
            </c:strRef>
          </c:tx>
          <c:spPr>
            <a:solidFill>
              <a:srgbClr val="FF0000"/>
            </a:solid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(ResultsTripleCation!$C$98:$G$98,ResultsTripleCation!$M$98:$Q$98,ResultsTripleCation!$AL$98:$AZ$98)</c:f>
              <c:numCache>
                <c:formatCode>0.00000</c:formatCode>
                <c:ptCount val="20"/>
                <c:pt idx="0">
                  <c:v>0.0638726831865655</c:v>
                </c:pt>
                <c:pt idx="1">
                  <c:v>0.0654695002662296</c:v>
                </c:pt>
                <c:pt idx="2">
                  <c:v>0.0670663173458938</c:v>
                </c:pt>
                <c:pt idx="3">
                  <c:v>0.0686631344255579</c:v>
                </c:pt>
                <c:pt idx="5">
                  <c:v>0.056023116253447</c:v>
                </c:pt>
                <c:pt idx="6">
                  <c:v>0.0574236941597832</c:v>
                </c:pt>
                <c:pt idx="7">
                  <c:v>0.0588242720661193</c:v>
                </c:pt>
                <c:pt idx="8">
                  <c:v>0.0602248499724555</c:v>
                </c:pt>
                <c:pt idx="10">
                  <c:v>0.0724780634035736</c:v>
                </c:pt>
                <c:pt idx="11">
                  <c:v>0.0742900149886629</c:v>
                </c:pt>
                <c:pt idx="12">
                  <c:v>0.0761019665737522</c:v>
                </c:pt>
                <c:pt idx="13">
                  <c:v>0.0779139181588416</c:v>
                </c:pt>
                <c:pt idx="15">
                  <c:v>0.0766749399180514</c:v>
                </c:pt>
                <c:pt idx="16">
                  <c:v>0.0785918134160026</c:v>
                </c:pt>
                <c:pt idx="17">
                  <c:v>0.0805086869139539</c:v>
                </c:pt>
                <c:pt idx="18">
                  <c:v>0.0824255604119052</c:v>
                </c:pt>
              </c:numCache>
            </c:numRef>
          </c:val>
          <c:extLst xmlns:c16r2="http://schemas.microsoft.com/office/drawing/2015/06/chart">
            <c:ext xmlns:c16="http://schemas.microsoft.com/office/drawing/2014/chart" uri="{C3380CC4-5D6E-409C-BE32-E72D297353CC}">
              <c16:uniqueId val="{00000005-DA30-4E36-B524-FDD528A3F76A}"/>
            </c:ext>
          </c:extLst>
        </c:ser>
        <c:ser>
          <c:idx val="6"/>
          <c:order val="6"/>
          <c:tx>
            <c:strRef>
              <c:f>ResultsTripleCation!$B$99</c:f>
              <c:strCache>
                <c:ptCount val="1"/>
                <c:pt idx="0">
                  <c:v>DMF</c:v>
                </c:pt>
              </c:strCache>
            </c:strRef>
          </c:tx>
          <c:spPr>
            <a:pattFill prst="dkDnDiag">
              <a:fgClr>
                <a:srgbClr val="92D050"/>
              </a:fgClr>
              <a:bgClr>
                <a:schemeClr val="bg1"/>
              </a:bgClr>
            </a:patt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(ResultsTripleCation!$C$99:$G$99,ResultsTripleCation!$M$99:$Q$99,ResultsTripleCation!$AL$99:$AZ$99)</c:f>
              <c:numCache>
                <c:formatCode>0.00000</c:formatCode>
                <c:ptCount val="20"/>
                <c:pt idx="0">
                  <c:v>0.0544896636938067</c:v>
                </c:pt>
                <c:pt idx="1">
                  <c:v>0.0539287098699603</c:v>
                </c:pt>
                <c:pt idx="2">
                  <c:v>0.0533677560461139</c:v>
                </c:pt>
                <c:pt idx="3">
                  <c:v>0.0528068022222675</c:v>
                </c:pt>
                <c:pt idx="5">
                  <c:v>0.0656109544514393</c:v>
                </c:pt>
                <c:pt idx="6">
                  <c:v>0.0649355104627855</c:v>
                </c:pt>
                <c:pt idx="7">
                  <c:v>0.0642600664741318</c:v>
                </c:pt>
                <c:pt idx="8">
                  <c:v>0.063584622485478</c:v>
                </c:pt>
                <c:pt idx="10">
                  <c:v>0.0385010866489713</c:v>
                </c:pt>
                <c:pt idx="11">
                  <c:v>0.0381047301601637</c:v>
                </c:pt>
                <c:pt idx="12">
                  <c:v>0.0377083736713562</c:v>
                </c:pt>
                <c:pt idx="13">
                  <c:v>0.0373120171825486</c:v>
                </c:pt>
                <c:pt idx="15">
                  <c:v>0.0366917052136741</c:v>
                </c:pt>
                <c:pt idx="16">
                  <c:v>0.0363139757334793</c:v>
                </c:pt>
                <c:pt idx="17">
                  <c:v>0.0359362462532844</c:v>
                </c:pt>
                <c:pt idx="18">
                  <c:v>0.0355585167730895</c:v>
                </c:pt>
              </c:numCache>
            </c:numRef>
          </c:val>
          <c:extLst xmlns:c16r2="http://schemas.microsoft.com/office/drawing/2015/06/chart">
            <c:ext xmlns:c16="http://schemas.microsoft.com/office/drawing/2014/chart" uri="{C3380CC4-5D6E-409C-BE32-E72D297353CC}">
              <c16:uniqueId val="{00000006-DA30-4E36-B524-FDD528A3F76A}"/>
            </c:ext>
          </c:extLst>
        </c:ser>
        <c:ser>
          <c:idx val="0"/>
          <c:order val="7"/>
          <c:tx>
            <c:strRef>
              <c:f>ResultsTripleCation!$B$100</c:f>
              <c:strCache>
                <c:ptCount val="1"/>
                <c:pt idx="0">
                  <c:v>DMSO</c:v>
                </c:pt>
              </c:strCache>
            </c:strRef>
          </c:tx>
          <c:spPr>
            <a:pattFill prst="dkUpDiag">
              <a:fgClr>
                <a:srgbClr val="C00000"/>
              </a:fgClr>
              <a:bgClr>
                <a:schemeClr val="bg1"/>
              </a:bgClr>
            </a:patt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(ResultsTripleCation!$C$100:$G$100,ResultsTripleCation!$M$100:$Q$100,ResultsTripleCation!$AL$100:$AZ$100)</c:f>
              <c:numCache>
                <c:formatCode>0.00000</c:formatCode>
                <c:ptCount val="20"/>
                <c:pt idx="0">
                  <c:v>0.0109978824874431</c:v>
                </c:pt>
                <c:pt idx="1">
                  <c:v>0.0108846627716781</c:v>
                </c:pt>
                <c:pt idx="2">
                  <c:v>0.0107714430559131</c:v>
                </c:pt>
                <c:pt idx="3">
                  <c:v>0.010658223340148</c:v>
                </c:pt>
                <c:pt idx="5">
                  <c:v>0.0156013090447831</c:v>
                </c:pt>
                <c:pt idx="6">
                  <c:v>0.0154406985111072</c:v>
                </c:pt>
                <c:pt idx="7">
                  <c:v>0.0152800879774313</c:v>
                </c:pt>
                <c:pt idx="8">
                  <c:v>0.0151194774437555</c:v>
                </c:pt>
                <c:pt idx="10">
                  <c:v>0.00666238271146379</c:v>
                </c:pt>
                <c:pt idx="11">
                  <c:v>0.00659379559228235</c:v>
                </c:pt>
                <c:pt idx="12">
                  <c:v>0.00652520847310091</c:v>
                </c:pt>
                <c:pt idx="13">
                  <c:v>0.00645662135391947</c:v>
                </c:pt>
                <c:pt idx="15">
                  <c:v>0.00634443758497156</c:v>
                </c:pt>
                <c:pt idx="16">
                  <c:v>0.00627912361013327</c:v>
                </c:pt>
                <c:pt idx="17">
                  <c:v>0.00621380963529497</c:v>
                </c:pt>
                <c:pt idx="18">
                  <c:v>0.00614849566045667</c:v>
                </c:pt>
              </c:numCache>
            </c:numRef>
          </c:val>
          <c:extLst xmlns:c16r2="http://schemas.microsoft.com/office/drawing/2015/06/chart">
            <c:ext xmlns:c16="http://schemas.microsoft.com/office/drawing/2014/chart" uri="{C3380CC4-5D6E-409C-BE32-E72D297353CC}">
              <c16:uniqueId val="{00000007-DA30-4E36-B524-FDD528A3F76A}"/>
            </c:ext>
          </c:extLst>
        </c:ser>
        <c:ser>
          <c:idx val="9"/>
          <c:order val="8"/>
          <c:tx>
            <c:strRef>
              <c:f>ResultsTripleCation!$B$101</c:f>
              <c:strCache>
                <c:ptCount val="1"/>
                <c:pt idx="0">
                  <c:v>GBL</c:v>
                </c:pt>
              </c:strCache>
            </c:strRef>
          </c:tx>
          <c:spPr>
            <a:pattFill prst="smCheck">
              <a:fgClr>
                <a:schemeClr val="accent4">
                  <a:lumMod val="40000"/>
                  <a:lumOff val="60000"/>
                </a:schemeClr>
              </a:fgClr>
              <a:bgClr>
                <a:schemeClr val="bg1"/>
              </a:bgClr>
            </a:pattFill>
          </c:spPr>
          <c:invertIfNegative val="0"/>
          <c:cat>
            <c:strLit>
              <c:ptCount val="20"/>
              <c:pt idx="0">
                <c:v>GWP x = 0</c:v>
              </c:pt>
              <c:pt idx="1">
                <c:v>GWP x = 0.05</c:v>
              </c:pt>
              <c:pt idx="2">
                <c:v>GWP x = 0.10</c:v>
              </c:pt>
              <c:pt idx="3">
                <c:v>GWP x = 0.15</c:v>
              </c:pt>
              <c:pt idx="4">
                <c:v>GWP Canonical</c:v>
              </c:pt>
              <c:pt idx="5">
                <c:v>CED x = 0</c:v>
              </c:pt>
              <c:pt idx="6">
                <c:v>CED x = 0.05</c:v>
              </c:pt>
              <c:pt idx="7">
                <c:v>CED x = 0.10</c:v>
              </c:pt>
              <c:pt idx="8">
                <c:v>CED x = 0.15</c:v>
              </c:pt>
              <c:pt idx="9">
                <c:v>CED Canonical</c:v>
              </c:pt>
              <c:pt idx="10">
                <c:v>HTC x = 0</c:v>
              </c:pt>
              <c:pt idx="11">
                <c:v>HTC x = 0.05</c:v>
              </c:pt>
              <c:pt idx="12">
                <c:v>HTC x = 0.10</c:v>
              </c:pt>
              <c:pt idx="13">
                <c:v>HTC x = 0.15</c:v>
              </c:pt>
              <c:pt idx="14">
                <c:v>HTC Canonical</c:v>
              </c:pt>
              <c:pt idx="15">
                <c:v>HTNC x = 0</c:v>
              </c:pt>
              <c:pt idx="16">
                <c:v>HTNC x = 0.05</c:v>
              </c:pt>
              <c:pt idx="17">
                <c:v>HTNC x = 0.10</c:v>
              </c:pt>
              <c:pt idx="18">
                <c:v>HTNC x = 0.15</c:v>
              </c:pt>
              <c:pt idx="19">
                <c:v>HTNC Canonical</c:v>
              </c:pt>
              <c:extLst>
                <c:ext xmlns:c15="http://schemas.microsoft.com/office/drawing/2012/chart" uri="{02D57815-91ED-43cb-92C2-25804820EDAC}">
                  <c15:autoCat val="1"/>
                </c:ext>
              </c:extLst>
            </c:strLit>
          </c:cat>
          <c:val>
            <c:numRef>
              <c:f>(ResultsTripleCation!$C$101:$G$101,ResultsTripleCation!$M$101:$Q$101,ResultsTripleCation!$AL$101:$AZ$101)</c:f>
              <c:numCache>
                <c:formatCode>General</c:formatCode>
                <c:ptCount val="20"/>
                <c:pt idx="4" formatCode="0.00000">
                  <c:v>0.036713373022346</c:v>
                </c:pt>
                <c:pt idx="9" formatCode="0.00000">
                  <c:v>0.0317941074529718</c:v>
                </c:pt>
                <c:pt idx="14" formatCode="0.00000">
                  <c:v>0.0177370177971168</c:v>
                </c:pt>
                <c:pt idx="19" formatCode="0.00000">
                  <c:v>0.0163074740907279</c:v>
                </c:pt>
              </c:numCache>
            </c:numRef>
          </c:val>
          <c:extLst xmlns:c16r2="http://schemas.microsoft.com/office/drawing/2015/06/chart">
            <c:ext xmlns:c16="http://schemas.microsoft.com/office/drawing/2014/chart" uri="{C3380CC4-5D6E-409C-BE32-E72D297353CC}">
              <c16:uniqueId val="{00000008-DA30-4E36-B524-FDD528A3F76A}"/>
            </c:ext>
          </c:extLst>
        </c:ser>
        <c:ser>
          <c:idx val="7"/>
          <c:order val="9"/>
          <c:tx>
            <c:strRef>
              <c:f>ResultsTripleCation!$B$102</c:f>
              <c:strCache>
                <c:ptCount val="1"/>
                <c:pt idx="0">
                  <c:v>CB</c:v>
                </c:pt>
              </c:strCache>
            </c:strRef>
          </c:tx>
          <c:spPr>
            <a:pattFill prst="pct90">
              <a:fgClr>
                <a:srgbClr val="00B050"/>
              </a:fgClr>
              <a:bgClr>
                <a:schemeClr val="bg1"/>
              </a:bgClr>
            </a:pattFill>
          </c:spPr>
          <c:invertIfNegative val="0"/>
          <c:cat>
            <c:multiLvlStrRef>
              <c:f>(ResultsTripleCation!$C$80:$G$81,ResultsTripleCation!$M$80:$Q$81,ResultsTripleCation!$AL$80:$AZ$81)</c:f>
              <c:multiLvlStrCache>
                <c:ptCount val="20"/>
                <c:lvl>
                  <c:pt idx="0">
                    <c:v>x = 0</c:v>
                  </c:pt>
                  <c:pt idx="1">
                    <c:v>x = 0.05</c:v>
                  </c:pt>
                  <c:pt idx="2">
                    <c:v>x = 0.10</c:v>
                  </c:pt>
                  <c:pt idx="3">
                    <c:v>x = 0.15</c:v>
                  </c:pt>
                  <c:pt idx="4">
                    <c:v>Canonical</c:v>
                  </c:pt>
                  <c:pt idx="5">
                    <c:v>x = 0</c:v>
                  </c:pt>
                  <c:pt idx="6">
                    <c:v>x = 0.05</c:v>
                  </c:pt>
                  <c:pt idx="7">
                    <c:v>x = 0.10</c:v>
                  </c:pt>
                  <c:pt idx="8">
                    <c:v>x = 0.15</c:v>
                  </c:pt>
                  <c:pt idx="9">
                    <c:v>Canonical</c:v>
                  </c:pt>
                  <c:pt idx="10">
                    <c:v>x = 0</c:v>
                  </c:pt>
                  <c:pt idx="11">
                    <c:v>x = 0.05</c:v>
                  </c:pt>
                  <c:pt idx="12">
                    <c:v>x = 0.10</c:v>
                  </c:pt>
                  <c:pt idx="13">
                    <c:v>x = 0.15</c:v>
                  </c:pt>
                  <c:pt idx="14">
                    <c:v>Canonical</c:v>
                  </c:pt>
                  <c:pt idx="15">
                    <c:v>x = 0</c:v>
                  </c:pt>
                  <c:pt idx="16">
                    <c:v>x = 0.05</c:v>
                  </c:pt>
                  <c:pt idx="17">
                    <c:v>x = 0.10</c:v>
                  </c:pt>
                  <c:pt idx="18">
                    <c:v>x = 0.15</c:v>
                  </c:pt>
                  <c:pt idx="19">
                    <c:v>Canonical</c:v>
                  </c:pt>
                </c:lvl>
                <c:lvl>
                  <c:pt idx="0">
                    <c:v>GWP</c:v>
                  </c:pt>
                  <c:pt idx="5">
                    <c:v>CED</c:v>
                  </c:pt>
                  <c:pt idx="10">
                    <c:v>HTC</c:v>
                  </c:pt>
                  <c:pt idx="15">
                    <c:v>HTNC</c:v>
                  </c:pt>
                </c:lvl>
              </c:multiLvlStrCache>
            </c:multiLvlStrRef>
          </c:cat>
          <c:val>
            <c:numRef>
              <c:f>(ResultsTripleCation!$C$102:$G$102,ResultsTripleCation!$M$102:$Q$102,ResultsTripleCation!$AL$102:$AZ$102)</c:f>
              <c:numCache>
                <c:formatCode>0.00000</c:formatCode>
                <c:ptCount val="20"/>
                <c:pt idx="0">
                  <c:v>0.330432806495945</c:v>
                </c:pt>
                <c:pt idx="1">
                  <c:v>0.330432806495945</c:v>
                </c:pt>
                <c:pt idx="2">
                  <c:v>0.330432806495945</c:v>
                </c:pt>
                <c:pt idx="3">
                  <c:v>0.330432806495945</c:v>
                </c:pt>
                <c:pt idx="5">
                  <c:v>0.384926208707811</c:v>
                </c:pt>
                <c:pt idx="6">
                  <c:v>0.384926208707811</c:v>
                </c:pt>
                <c:pt idx="7">
                  <c:v>0.384926208707811</c:v>
                </c:pt>
                <c:pt idx="8">
                  <c:v>0.384926208707811</c:v>
                </c:pt>
                <c:pt idx="10">
                  <c:v>0.282798485850726</c:v>
                </c:pt>
                <c:pt idx="11">
                  <c:v>0.282798485850726</c:v>
                </c:pt>
                <c:pt idx="12">
                  <c:v>0.282798485850726</c:v>
                </c:pt>
                <c:pt idx="13">
                  <c:v>0.282798485850726</c:v>
                </c:pt>
                <c:pt idx="15">
                  <c:v>0.307759924763746</c:v>
                </c:pt>
                <c:pt idx="16">
                  <c:v>0.307759924763746</c:v>
                </c:pt>
                <c:pt idx="17">
                  <c:v>0.307759924763746</c:v>
                </c:pt>
                <c:pt idx="18">
                  <c:v>0.307759924763746</c:v>
                </c:pt>
              </c:numCache>
            </c:numRef>
          </c:val>
          <c:extLst xmlns:c16r2="http://schemas.microsoft.com/office/drawing/2015/06/chart">
            <c:ext xmlns:c16="http://schemas.microsoft.com/office/drawing/2014/chart" uri="{C3380CC4-5D6E-409C-BE32-E72D297353CC}">
              <c16:uniqueId val="{00000009-DA30-4E36-B524-FDD528A3F76A}"/>
            </c:ext>
          </c:extLst>
        </c:ser>
        <c:dLbls>
          <c:showLegendKey val="0"/>
          <c:showVal val="0"/>
          <c:showCatName val="0"/>
          <c:showSerName val="0"/>
          <c:showPercent val="0"/>
          <c:showBubbleSize val="0"/>
        </c:dLbls>
        <c:gapWidth val="150"/>
        <c:overlap val="100"/>
        <c:axId val="-2139705120"/>
        <c:axId val="-2093205328"/>
      </c:barChart>
      <c:catAx>
        <c:axId val="-2139705120"/>
        <c:scaling>
          <c:orientation val="minMax"/>
        </c:scaling>
        <c:delete val="0"/>
        <c:axPos val="b"/>
        <c:numFmt formatCode="General" sourceLinked="0"/>
        <c:majorTickMark val="out"/>
        <c:minorTickMark val="none"/>
        <c:tickLblPos val="nextTo"/>
        <c:txPr>
          <a:bodyPr/>
          <a:lstStyle/>
          <a:p>
            <a:pPr>
              <a:defRPr sz="800"/>
            </a:pPr>
            <a:endParaRPr lang="es-ES_tradnl"/>
          </a:p>
        </c:txPr>
        <c:crossAx val="-2093205328"/>
        <c:crosses val="autoZero"/>
        <c:auto val="1"/>
        <c:lblAlgn val="ctr"/>
        <c:lblOffset val="100"/>
        <c:noMultiLvlLbl val="0"/>
      </c:catAx>
      <c:valAx>
        <c:axId val="-2093205328"/>
        <c:scaling>
          <c:orientation val="minMax"/>
          <c:max val="1.0"/>
        </c:scaling>
        <c:delete val="0"/>
        <c:axPos val="l"/>
        <c:majorGridlines/>
        <c:numFmt formatCode="0%" sourceLinked="0"/>
        <c:majorTickMark val="out"/>
        <c:minorTickMark val="none"/>
        <c:tickLblPos val="nextTo"/>
        <c:txPr>
          <a:bodyPr/>
          <a:lstStyle/>
          <a:p>
            <a:pPr>
              <a:defRPr sz="800"/>
            </a:pPr>
            <a:endParaRPr lang="es-ES_tradnl"/>
          </a:p>
        </c:txPr>
        <c:crossAx val="-2139705120"/>
        <c:crosses val="autoZero"/>
        <c:crossBetween val="between"/>
        <c:majorUnit val="0.1"/>
        <c:minorUnit val="0.05"/>
      </c:valAx>
    </c:plotArea>
    <c:legend>
      <c:legendPos val="b"/>
      <c:overlay val="0"/>
      <c:txPr>
        <a:bodyPr/>
        <a:lstStyle/>
        <a:p>
          <a:pPr>
            <a:defRPr sz="800"/>
          </a:pPr>
          <a:endParaRPr lang="es-ES_tradnl"/>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EconomicsTripleCation!$C$55</c:f>
              <c:strCache>
                <c:ptCount val="1"/>
                <c:pt idx="0">
                  <c:v>CsI</c:v>
                </c:pt>
              </c:strCache>
            </c:strRef>
          </c:tx>
          <c:spPr>
            <a:solidFill>
              <a:srgbClr val="7030A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EconomicsTripleCation!$C$56:$C$60</c:f>
              <c:numCache>
                <c:formatCode>0.000</c:formatCode>
                <c:ptCount val="5"/>
                <c:pt idx="0">
                  <c:v>0.0</c:v>
                </c:pt>
                <c:pt idx="1">
                  <c:v>0.0210272734446898</c:v>
                </c:pt>
                <c:pt idx="2">
                  <c:v>0.0420545468893795</c:v>
                </c:pt>
                <c:pt idx="3">
                  <c:v>0.0630818203340693</c:v>
                </c:pt>
              </c:numCache>
            </c:numRef>
          </c:val>
          <c:extLst xmlns:c16r2="http://schemas.microsoft.com/office/drawing/2015/06/chart">
            <c:ext xmlns:c16="http://schemas.microsoft.com/office/drawing/2014/chart" uri="{C3380CC4-5D6E-409C-BE32-E72D297353CC}">
              <c16:uniqueId val="{00000000-F605-4ED5-9850-67559EDE257D}"/>
            </c:ext>
          </c:extLst>
        </c:ser>
        <c:ser>
          <c:idx val="1"/>
          <c:order val="1"/>
          <c:tx>
            <c:strRef>
              <c:f>EconomicsTripleCation!$D$55</c:f>
              <c:strCache>
                <c:ptCount val="1"/>
                <c:pt idx="0">
                  <c:v>FAI</c:v>
                </c:pt>
              </c:strCache>
            </c:strRef>
          </c:tx>
          <c:spPr>
            <a:solidFill>
              <a:srgbClr val="00B0F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EconomicsTripleCation!$D$56:$D$60</c:f>
              <c:numCache>
                <c:formatCode>0.000</c:formatCode>
                <c:ptCount val="5"/>
                <c:pt idx="0">
                  <c:v>1.106370219132105</c:v>
                </c:pt>
                <c:pt idx="1">
                  <c:v>1.0510517081755</c:v>
                </c:pt>
                <c:pt idx="2">
                  <c:v>0.995733197218895</c:v>
                </c:pt>
                <c:pt idx="3">
                  <c:v>0.940414686262289</c:v>
                </c:pt>
              </c:numCache>
            </c:numRef>
          </c:val>
          <c:extLst xmlns:c16r2="http://schemas.microsoft.com/office/drawing/2015/06/chart">
            <c:ext xmlns:c16="http://schemas.microsoft.com/office/drawing/2014/chart" uri="{C3380CC4-5D6E-409C-BE32-E72D297353CC}">
              <c16:uniqueId val="{00000001-F605-4ED5-9850-67559EDE257D}"/>
            </c:ext>
          </c:extLst>
        </c:ser>
        <c:ser>
          <c:idx val="2"/>
          <c:order val="2"/>
          <c:tx>
            <c:strRef>
              <c:f>EconomicsTripleCation!$E$55</c:f>
              <c:strCache>
                <c:ptCount val="1"/>
                <c:pt idx="0">
                  <c:v>MABr</c:v>
                </c:pt>
              </c:strCache>
            </c:strRef>
          </c:tx>
          <c:spPr>
            <a:solidFill>
              <a:srgbClr val="FFC00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EconomicsTripleCation!$E$56:$E$60</c:f>
              <c:numCache>
                <c:formatCode>0.000</c:formatCode>
                <c:ptCount val="5"/>
                <c:pt idx="0">
                  <c:v>0.0564384330485649</c:v>
                </c:pt>
                <c:pt idx="1">
                  <c:v>0.0536165113961367</c:v>
                </c:pt>
                <c:pt idx="2">
                  <c:v>0.0507945897437085</c:v>
                </c:pt>
                <c:pt idx="3">
                  <c:v>0.0479726680912801</c:v>
                </c:pt>
              </c:numCache>
            </c:numRef>
          </c:val>
          <c:extLst xmlns:c16r2="http://schemas.microsoft.com/office/drawing/2015/06/chart">
            <c:ext xmlns:c16="http://schemas.microsoft.com/office/drawing/2014/chart" uri="{C3380CC4-5D6E-409C-BE32-E72D297353CC}">
              <c16:uniqueId val="{00000002-F605-4ED5-9850-67559EDE257D}"/>
            </c:ext>
          </c:extLst>
        </c:ser>
        <c:ser>
          <c:idx val="3"/>
          <c:order val="3"/>
          <c:tx>
            <c:strRef>
              <c:f>EconomicsTripleCation!$F$55</c:f>
              <c:strCache>
                <c:ptCount val="1"/>
                <c:pt idx="0">
                  <c:v>PbI2</c:v>
                </c:pt>
              </c:strCache>
            </c:strRef>
          </c:tx>
          <c:spPr>
            <a:solidFill>
              <a:srgbClr val="00206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EconomicsTripleCation!$F$56:$F$60</c:f>
              <c:numCache>
                <c:formatCode>0.000</c:formatCode>
                <c:ptCount val="5"/>
                <c:pt idx="0">
                  <c:v>1.607729267722001</c:v>
                </c:pt>
                <c:pt idx="1">
                  <c:v>1.59949691906198</c:v>
                </c:pt>
                <c:pt idx="2">
                  <c:v>1.591264570401959</c:v>
                </c:pt>
                <c:pt idx="3">
                  <c:v>1.583032221741936</c:v>
                </c:pt>
                <c:pt idx="4">
                  <c:v>1.89584558154541</c:v>
                </c:pt>
              </c:numCache>
            </c:numRef>
          </c:val>
          <c:extLst xmlns:c16r2="http://schemas.microsoft.com/office/drawing/2015/06/chart">
            <c:ext xmlns:c16="http://schemas.microsoft.com/office/drawing/2014/chart" uri="{C3380CC4-5D6E-409C-BE32-E72D297353CC}">
              <c16:uniqueId val="{00000003-F605-4ED5-9850-67559EDE257D}"/>
            </c:ext>
          </c:extLst>
        </c:ser>
        <c:ser>
          <c:idx val="4"/>
          <c:order val="4"/>
          <c:tx>
            <c:strRef>
              <c:f>EconomicsTripleCation!$G$55</c:f>
              <c:strCache>
                <c:ptCount val="1"/>
                <c:pt idx="0">
                  <c:v>PbBr2</c:v>
                </c:pt>
              </c:strCache>
            </c:strRef>
          </c:tx>
          <c:spPr>
            <a:solidFill>
              <a:srgbClr val="FF000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EconomicsTripleCation!$G$56:$G$60</c:f>
              <c:numCache>
                <c:formatCode>0.000</c:formatCode>
                <c:ptCount val="5"/>
                <c:pt idx="0">
                  <c:v>0.0420373948628734</c:v>
                </c:pt>
                <c:pt idx="1">
                  <c:v>0.0430883297344451</c:v>
                </c:pt>
                <c:pt idx="2">
                  <c:v>0.044139264606017</c:v>
                </c:pt>
                <c:pt idx="3">
                  <c:v>0.0451901994775888</c:v>
                </c:pt>
              </c:numCache>
            </c:numRef>
          </c:val>
          <c:extLst xmlns:c16r2="http://schemas.microsoft.com/office/drawing/2015/06/chart">
            <c:ext xmlns:c16="http://schemas.microsoft.com/office/drawing/2014/chart" uri="{C3380CC4-5D6E-409C-BE32-E72D297353CC}">
              <c16:uniqueId val="{00000004-F605-4ED5-9850-67559EDE257D}"/>
            </c:ext>
          </c:extLst>
        </c:ser>
        <c:ser>
          <c:idx val="5"/>
          <c:order val="5"/>
          <c:tx>
            <c:strRef>
              <c:f>EconomicsTripleCation!$H$55</c:f>
              <c:strCache>
                <c:ptCount val="1"/>
                <c:pt idx="0">
                  <c:v>MAI</c:v>
                </c:pt>
              </c:strCache>
            </c:strRef>
          </c:tx>
          <c:spPr>
            <a:solidFill>
              <a:srgbClr val="92D050"/>
            </a:solid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EconomicsTripleCation!$H$56:$H$60</c:f>
              <c:numCache>
                <c:formatCode>General</c:formatCode>
                <c:ptCount val="5"/>
                <c:pt idx="4" formatCode="0.000">
                  <c:v>0.400610617709828</c:v>
                </c:pt>
              </c:numCache>
            </c:numRef>
          </c:val>
          <c:extLst xmlns:c16r2="http://schemas.microsoft.com/office/drawing/2015/06/chart">
            <c:ext xmlns:c16="http://schemas.microsoft.com/office/drawing/2014/chart" uri="{C3380CC4-5D6E-409C-BE32-E72D297353CC}">
              <c16:uniqueId val="{00000005-F605-4ED5-9850-67559EDE257D}"/>
            </c:ext>
          </c:extLst>
        </c:ser>
        <c:ser>
          <c:idx val="6"/>
          <c:order val="6"/>
          <c:tx>
            <c:strRef>
              <c:f>EconomicsTripleCation!$I$55</c:f>
              <c:strCache>
                <c:ptCount val="1"/>
                <c:pt idx="0">
                  <c:v>DMF</c:v>
                </c:pt>
              </c:strCache>
            </c:strRef>
          </c:tx>
          <c:spPr>
            <a:pattFill prst="dkDnDiag">
              <a:fgClr>
                <a:srgbClr val="92D050"/>
              </a:fgClr>
              <a:bgClr>
                <a:schemeClr val="bg1"/>
              </a:bgClr>
            </a:patt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EconomicsTripleCation!$I$56:$I$60</c:f>
              <c:numCache>
                <c:formatCode>0.000</c:formatCode>
                <c:ptCount val="5"/>
                <c:pt idx="0">
                  <c:v>0.14421267477408</c:v>
                </c:pt>
                <c:pt idx="1">
                  <c:v>0.142728050977975</c:v>
                </c:pt>
                <c:pt idx="2">
                  <c:v>0.141243427181869</c:v>
                </c:pt>
                <c:pt idx="3">
                  <c:v>0.139758803385762</c:v>
                </c:pt>
              </c:numCache>
            </c:numRef>
          </c:val>
          <c:extLst xmlns:c16r2="http://schemas.microsoft.com/office/drawing/2015/06/chart">
            <c:ext xmlns:c16="http://schemas.microsoft.com/office/drawing/2014/chart" uri="{C3380CC4-5D6E-409C-BE32-E72D297353CC}">
              <c16:uniqueId val="{00000006-F605-4ED5-9850-67559EDE257D}"/>
            </c:ext>
          </c:extLst>
        </c:ser>
        <c:ser>
          <c:idx val="7"/>
          <c:order val="7"/>
          <c:tx>
            <c:strRef>
              <c:f>EconomicsTripleCation!$J$55</c:f>
              <c:strCache>
                <c:ptCount val="1"/>
                <c:pt idx="0">
                  <c:v>DMSO</c:v>
                </c:pt>
              </c:strCache>
            </c:strRef>
          </c:tx>
          <c:spPr>
            <a:pattFill prst="dkUpDiag">
              <a:fgClr>
                <a:srgbClr val="C00000"/>
              </a:fgClr>
              <a:bgClr>
                <a:schemeClr val="bg1"/>
              </a:bgClr>
            </a:patt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EconomicsTripleCation!$J$56:$J$60</c:f>
              <c:numCache>
                <c:formatCode>0.000</c:formatCode>
                <c:ptCount val="5"/>
                <c:pt idx="0">
                  <c:v>0.0991737253267096</c:v>
                </c:pt>
                <c:pt idx="1">
                  <c:v>0.0981527632455392</c:v>
                </c:pt>
                <c:pt idx="2">
                  <c:v>0.0971318011643686</c:v>
                </c:pt>
                <c:pt idx="3">
                  <c:v>0.096110839083198</c:v>
                </c:pt>
              </c:numCache>
            </c:numRef>
          </c:val>
          <c:extLst xmlns:c16r2="http://schemas.microsoft.com/office/drawing/2015/06/chart">
            <c:ext xmlns:c16="http://schemas.microsoft.com/office/drawing/2014/chart" uri="{C3380CC4-5D6E-409C-BE32-E72D297353CC}">
              <c16:uniqueId val="{00000007-F605-4ED5-9850-67559EDE257D}"/>
            </c:ext>
          </c:extLst>
        </c:ser>
        <c:ser>
          <c:idx val="8"/>
          <c:order val="8"/>
          <c:tx>
            <c:strRef>
              <c:f>EconomicsTripleCation!$K$55</c:f>
              <c:strCache>
                <c:ptCount val="1"/>
                <c:pt idx="0">
                  <c:v>CB</c:v>
                </c:pt>
              </c:strCache>
            </c:strRef>
          </c:tx>
          <c:spPr>
            <a:pattFill prst="pct90">
              <a:fgClr>
                <a:srgbClr val="00B050"/>
              </a:fgClr>
              <a:bgClr>
                <a:schemeClr val="bg1"/>
              </a:bgClr>
            </a:patt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EconomicsTripleCation!$K$56:$K$60</c:f>
              <c:numCache>
                <c:formatCode>0.000</c:formatCode>
                <c:ptCount val="5"/>
                <c:pt idx="0">
                  <c:v>0.310613354832</c:v>
                </c:pt>
                <c:pt idx="1">
                  <c:v>0.310613354832</c:v>
                </c:pt>
                <c:pt idx="2">
                  <c:v>0.310613354832</c:v>
                </c:pt>
                <c:pt idx="3">
                  <c:v>0.310613354832</c:v>
                </c:pt>
              </c:numCache>
            </c:numRef>
          </c:val>
          <c:extLst xmlns:c16r2="http://schemas.microsoft.com/office/drawing/2015/06/chart">
            <c:ext xmlns:c16="http://schemas.microsoft.com/office/drawing/2014/chart" uri="{C3380CC4-5D6E-409C-BE32-E72D297353CC}">
              <c16:uniqueId val="{00000008-F605-4ED5-9850-67559EDE257D}"/>
            </c:ext>
          </c:extLst>
        </c:ser>
        <c:ser>
          <c:idx val="9"/>
          <c:order val="9"/>
          <c:tx>
            <c:strRef>
              <c:f>EconomicsTripleCation!$L$55</c:f>
              <c:strCache>
                <c:ptCount val="1"/>
                <c:pt idx="0">
                  <c:v>GBL</c:v>
                </c:pt>
              </c:strCache>
            </c:strRef>
          </c:tx>
          <c:spPr>
            <a:pattFill prst="smCheck">
              <a:fgClr>
                <a:schemeClr val="accent6">
                  <a:lumMod val="50000"/>
                </a:schemeClr>
              </a:fgClr>
              <a:bgClr>
                <a:schemeClr val="bg1"/>
              </a:bgClr>
            </a:pattFill>
          </c:spPr>
          <c:invertIfNegative val="0"/>
          <c:cat>
            <c:strRef>
              <c:f>EconomicsTripleCation!$B$56:$B$60</c:f>
              <c:strCache>
                <c:ptCount val="5"/>
                <c:pt idx="0">
                  <c:v>x = 0</c:v>
                </c:pt>
                <c:pt idx="1">
                  <c:v>x = 0.05</c:v>
                </c:pt>
                <c:pt idx="2">
                  <c:v>x = 0.10</c:v>
                </c:pt>
                <c:pt idx="3">
                  <c:v>x = 0.15</c:v>
                </c:pt>
                <c:pt idx="4">
                  <c:v>canonical</c:v>
                </c:pt>
              </c:strCache>
            </c:strRef>
          </c:cat>
          <c:val>
            <c:numRef>
              <c:f>EconomicsTripleCation!$L$56:$L$60</c:f>
              <c:numCache>
                <c:formatCode>General</c:formatCode>
                <c:ptCount val="5"/>
                <c:pt idx="4" formatCode="0.000">
                  <c:v>0.07319565</c:v>
                </c:pt>
              </c:numCache>
            </c:numRef>
          </c:val>
          <c:extLst xmlns:c16r2="http://schemas.microsoft.com/office/drawing/2015/06/chart">
            <c:ext xmlns:c16="http://schemas.microsoft.com/office/drawing/2014/chart" uri="{C3380CC4-5D6E-409C-BE32-E72D297353CC}">
              <c16:uniqueId val="{00000009-F605-4ED5-9850-67559EDE257D}"/>
            </c:ext>
          </c:extLst>
        </c:ser>
        <c:dLbls>
          <c:showLegendKey val="0"/>
          <c:showVal val="0"/>
          <c:showCatName val="0"/>
          <c:showSerName val="0"/>
          <c:showPercent val="0"/>
          <c:showBubbleSize val="0"/>
        </c:dLbls>
        <c:gapWidth val="150"/>
        <c:overlap val="100"/>
        <c:axId val="-2139785168"/>
        <c:axId val="2133704144"/>
      </c:barChart>
      <c:catAx>
        <c:axId val="-2139785168"/>
        <c:scaling>
          <c:orientation val="minMax"/>
        </c:scaling>
        <c:delete val="0"/>
        <c:axPos val="b"/>
        <c:numFmt formatCode="General" sourceLinked="0"/>
        <c:majorTickMark val="out"/>
        <c:minorTickMark val="none"/>
        <c:tickLblPos val="nextTo"/>
        <c:crossAx val="2133704144"/>
        <c:crosses val="autoZero"/>
        <c:auto val="1"/>
        <c:lblAlgn val="ctr"/>
        <c:lblOffset val="100"/>
        <c:noMultiLvlLbl val="0"/>
      </c:catAx>
      <c:valAx>
        <c:axId val="2133704144"/>
        <c:scaling>
          <c:orientation val="minMax"/>
        </c:scaling>
        <c:delete val="0"/>
        <c:axPos val="l"/>
        <c:majorGridlines/>
        <c:title>
          <c:tx>
            <c:rich>
              <a:bodyPr rot="-5400000" vert="horz"/>
              <a:lstStyle/>
              <a:p>
                <a:pPr>
                  <a:defRPr sz="1000"/>
                </a:pPr>
                <a:r>
                  <a:rPr lang="es-ES" sz="1000"/>
                  <a:t>€/m</a:t>
                </a:r>
                <a:r>
                  <a:rPr lang="es-ES" sz="1000" baseline="30000"/>
                  <a:t>2</a:t>
                </a:r>
              </a:p>
            </c:rich>
          </c:tx>
          <c:overlay val="0"/>
        </c:title>
        <c:numFmt formatCode="#,##0.0" sourceLinked="0"/>
        <c:majorTickMark val="out"/>
        <c:minorTickMark val="none"/>
        <c:tickLblPos val="nextTo"/>
        <c:crossAx val="-2139785168"/>
        <c:crosses val="autoZero"/>
        <c:crossBetween val="between"/>
      </c:valAx>
    </c:plotArea>
    <c:legend>
      <c:legendPos val="b"/>
      <c:overlay val="0"/>
    </c:legend>
    <c:plotVisOnly val="1"/>
    <c:dispBlanksAs val="gap"/>
    <c:showDLblsOverMax val="0"/>
  </c:chart>
  <c:spPr>
    <a:ln>
      <a:noFill/>
    </a:ln>
  </c:spPr>
  <c:txPr>
    <a:bodyPr/>
    <a:lstStyle/>
    <a:p>
      <a:pPr>
        <a:defRPr sz="800"/>
      </a:pPr>
      <a:endParaRPr lang="es-ES_tradn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EconomicsTripleCation!$S$62</c:f>
              <c:strCache>
                <c:ptCount val="1"/>
                <c:pt idx="0">
                  <c:v>Equivalent cost payback efficiency of perovskite with x = 0.10 of caesium PCE (%)</c:v>
                </c:pt>
              </c:strCache>
            </c:strRef>
          </c:tx>
          <c:spPr>
            <a:ln w="19050" cap="rnd">
              <a:solidFill>
                <a:schemeClr val="accent1"/>
              </a:solidFill>
              <a:round/>
            </a:ln>
            <a:effectLst/>
          </c:spPr>
          <c:marker>
            <c:symbol val="circle"/>
            <c:size val="5"/>
            <c:spPr>
              <a:noFill/>
              <a:ln w="9525">
                <a:noFill/>
              </a:ln>
              <a:effectLst/>
            </c:spPr>
          </c:marker>
          <c:xVal>
            <c:numRef>
              <c:f>EconomicsTripleCation!$R$63:$R$85</c:f>
              <c:numCache>
                <c:formatCode>General</c:formatCode>
                <c:ptCount val="2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numCache>
            </c:numRef>
          </c:xVal>
          <c:yVal>
            <c:numRef>
              <c:f>EconomicsTripleCation!$S$63:$S$85</c:f>
              <c:numCache>
                <c:formatCode>0.00</c:formatCode>
                <c:ptCount val="23"/>
                <c:pt idx="0">
                  <c:v>1.3812049027653</c:v>
                </c:pt>
                <c:pt idx="1">
                  <c:v>2.7624098055306</c:v>
                </c:pt>
                <c:pt idx="2">
                  <c:v>4.143614708295887</c:v>
                </c:pt>
                <c:pt idx="3">
                  <c:v>5.524819611061194</c:v>
                </c:pt>
                <c:pt idx="4">
                  <c:v>6.906024513826502</c:v>
                </c:pt>
                <c:pt idx="5">
                  <c:v>8.287229416591792</c:v>
                </c:pt>
                <c:pt idx="6">
                  <c:v>9.66843431935713</c:v>
                </c:pt>
                <c:pt idx="7">
                  <c:v>11.04963922212242</c:v>
                </c:pt>
                <c:pt idx="8">
                  <c:v>12.4308441248877</c:v>
                </c:pt>
                <c:pt idx="9">
                  <c:v>13.81204902765303</c:v>
                </c:pt>
                <c:pt idx="10">
                  <c:v>15.1932539304183</c:v>
                </c:pt>
                <c:pt idx="11">
                  <c:v>16.57445883318361</c:v>
                </c:pt>
                <c:pt idx="12">
                  <c:v>17.95566373594889</c:v>
                </c:pt>
                <c:pt idx="13">
                  <c:v>19.33686863871426</c:v>
                </c:pt>
                <c:pt idx="14">
                  <c:v>20.71807354147951</c:v>
                </c:pt>
                <c:pt idx="15">
                  <c:v>22.09927844424483</c:v>
                </c:pt>
                <c:pt idx="16">
                  <c:v>23.48048334701009</c:v>
                </c:pt>
                <c:pt idx="17">
                  <c:v>24.86168824977534</c:v>
                </c:pt>
                <c:pt idx="18">
                  <c:v>26.2428931525407</c:v>
                </c:pt>
                <c:pt idx="19">
                  <c:v>27.62409805530604</c:v>
                </c:pt>
                <c:pt idx="20">
                  <c:v>29.00530295807123</c:v>
                </c:pt>
                <c:pt idx="21">
                  <c:v>30.3865078608366</c:v>
                </c:pt>
                <c:pt idx="22">
                  <c:v>31.76771276360189</c:v>
                </c:pt>
              </c:numCache>
            </c:numRef>
          </c:yVal>
          <c:smooth val="1"/>
          <c:extLst xmlns:c16r2="http://schemas.microsoft.com/office/drawing/2015/06/chart">
            <c:ext xmlns:c16="http://schemas.microsoft.com/office/drawing/2014/chart" uri="{C3380CC4-5D6E-409C-BE32-E72D297353CC}">
              <c16:uniqueId val="{00000000-881C-430E-8F54-6BEE7FA39C77}"/>
            </c:ext>
          </c:extLst>
        </c:ser>
        <c:dLbls>
          <c:showLegendKey val="0"/>
          <c:showVal val="0"/>
          <c:showCatName val="0"/>
          <c:showSerName val="0"/>
          <c:showPercent val="0"/>
          <c:showBubbleSize val="0"/>
        </c:dLbls>
        <c:axId val="2071265728"/>
        <c:axId val="2071902576"/>
      </c:scatterChart>
      <c:scatterChart>
        <c:scatterStyle val="smoothMarker"/>
        <c:varyColors val="0"/>
        <c:ser>
          <c:idx val="1"/>
          <c:order val="1"/>
          <c:tx>
            <c:strRef>
              <c:f>EconomicsTripleCation!$T$62</c:f>
              <c:strCache>
                <c:ptCount val="1"/>
                <c:pt idx="0">
                  <c:v>Deviation between canonical perovskite and its cost payback equivalent for the perovskite with x = 0.10 of caesium (%)</c:v>
                </c:pt>
              </c:strCache>
            </c:strRef>
          </c:tx>
          <c:spPr>
            <a:ln w="19050" cap="rnd">
              <a:solidFill>
                <a:schemeClr val="accent2"/>
              </a:solidFill>
              <a:round/>
            </a:ln>
            <a:effectLst/>
          </c:spPr>
          <c:marker>
            <c:symbol val="circle"/>
            <c:size val="5"/>
            <c:spPr>
              <a:noFill/>
              <a:ln w="9525">
                <a:noFill/>
              </a:ln>
              <a:effectLst/>
            </c:spPr>
          </c:marker>
          <c:xVal>
            <c:numRef>
              <c:f>EconomicsTripleCation!$R$63:$R$85</c:f>
              <c:numCache>
                <c:formatCode>General</c:formatCode>
                <c:ptCount val="2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numCache>
            </c:numRef>
          </c:xVal>
          <c:yVal>
            <c:numRef>
              <c:f>EconomicsTripleCation!$T$63:$T$85</c:f>
              <c:numCache>
                <c:formatCode>0.00</c:formatCode>
                <c:ptCount val="23"/>
                <c:pt idx="0">
                  <c:v>0.381204902765301</c:v>
                </c:pt>
                <c:pt idx="1">
                  <c:v>0.762409805530602</c:v>
                </c:pt>
                <c:pt idx="2">
                  <c:v>1.143614708295901</c:v>
                </c:pt>
                <c:pt idx="3">
                  <c:v>1.524819611061201</c:v>
                </c:pt>
                <c:pt idx="4">
                  <c:v>1.906024513826504</c:v>
                </c:pt>
                <c:pt idx="5">
                  <c:v>2.287229416591803</c:v>
                </c:pt>
                <c:pt idx="6">
                  <c:v>2.668434319357105</c:v>
                </c:pt>
                <c:pt idx="7">
                  <c:v>3.049639222122408</c:v>
                </c:pt>
                <c:pt idx="8">
                  <c:v>3.430844124887696</c:v>
                </c:pt>
                <c:pt idx="9">
                  <c:v>3.812049027652998</c:v>
                </c:pt>
                <c:pt idx="10">
                  <c:v>4.193253930418303</c:v>
                </c:pt>
                <c:pt idx="11">
                  <c:v>4.574458833183607</c:v>
                </c:pt>
                <c:pt idx="12">
                  <c:v>4.95566373594892</c:v>
                </c:pt>
                <c:pt idx="13">
                  <c:v>5.33686863871421</c:v>
                </c:pt>
                <c:pt idx="14">
                  <c:v>5.718073541479509</c:v>
                </c:pt>
                <c:pt idx="15">
                  <c:v>6.09927844424483</c:v>
                </c:pt>
                <c:pt idx="16">
                  <c:v>6.480483347010104</c:v>
                </c:pt>
                <c:pt idx="17">
                  <c:v>6.861688249775389</c:v>
                </c:pt>
                <c:pt idx="18">
                  <c:v>7.242893152540702</c:v>
                </c:pt>
                <c:pt idx="19">
                  <c:v>7.624098055305988</c:v>
                </c:pt>
                <c:pt idx="20">
                  <c:v>8.00530295807131</c:v>
                </c:pt>
                <c:pt idx="21">
                  <c:v>8.386507860836626</c:v>
                </c:pt>
                <c:pt idx="22">
                  <c:v>8.767712763601903</c:v>
                </c:pt>
              </c:numCache>
            </c:numRef>
          </c:yVal>
          <c:smooth val="1"/>
          <c:extLst xmlns:c16r2="http://schemas.microsoft.com/office/drawing/2015/06/chart">
            <c:ext xmlns:c16="http://schemas.microsoft.com/office/drawing/2014/chart" uri="{C3380CC4-5D6E-409C-BE32-E72D297353CC}">
              <c16:uniqueId val="{00000001-881C-430E-8F54-6BEE7FA39C77}"/>
            </c:ext>
          </c:extLst>
        </c:ser>
        <c:dLbls>
          <c:showLegendKey val="0"/>
          <c:showVal val="0"/>
          <c:showCatName val="0"/>
          <c:showSerName val="0"/>
          <c:showPercent val="0"/>
          <c:showBubbleSize val="0"/>
        </c:dLbls>
        <c:axId val="2071954544"/>
        <c:axId val="2071905280"/>
      </c:scatterChart>
      <c:valAx>
        <c:axId val="2071265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ca-ES" b="1"/>
                  <a:t>Canonical perovskite PCE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2071902576"/>
        <c:crosses val="autoZero"/>
        <c:crossBetween val="midCat"/>
      </c:valAx>
      <c:valAx>
        <c:axId val="207190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ca-ES" b="1"/>
                  <a:t>Perovskite x = 0.10 of caesium PCE (%)</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2071265728"/>
        <c:crosses val="autoZero"/>
        <c:crossBetween val="midCat"/>
      </c:valAx>
      <c:valAx>
        <c:axId val="2071905280"/>
        <c:scaling>
          <c:orientation val="minMax"/>
          <c:max val="10.0"/>
        </c:scaling>
        <c:delete val="0"/>
        <c:axPos val="r"/>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ca-ES" b="1"/>
                  <a:t>PCE deviation (%)</a:t>
                </a:r>
              </a:p>
            </c:rich>
          </c:tx>
          <c:overlay val="0"/>
          <c:spPr>
            <a:noFill/>
            <a:ln>
              <a:noFill/>
            </a:ln>
            <a:effectLst/>
          </c:spPr>
        </c:title>
        <c:numFmt formatCode="General"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2071954544"/>
        <c:crosses val="max"/>
        <c:crossBetween val="midCat"/>
      </c:valAx>
      <c:valAx>
        <c:axId val="2071954544"/>
        <c:scaling>
          <c:orientation val="minMax"/>
        </c:scaling>
        <c:delete val="1"/>
        <c:axPos val="b"/>
        <c:numFmt formatCode="General" sourceLinked="1"/>
        <c:majorTickMark val="out"/>
        <c:minorTickMark val="none"/>
        <c:tickLblPos val="nextTo"/>
        <c:crossAx val="2071905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ES_tradn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0.97474</cdr:x>
      <cdr:y>0.04295</cdr:y>
    </cdr:from>
    <cdr:to>
      <cdr:x>0.97474</cdr:x>
      <cdr:y>0.66517</cdr:y>
    </cdr:to>
    <cdr:cxnSp macro="">
      <cdr:nvCxnSpPr>
        <cdr:cNvPr id="3" name="Conector recto 2">
          <a:extLst xmlns:a="http://schemas.openxmlformats.org/drawingml/2006/main">
            <a:ext uri="{FF2B5EF4-FFF2-40B4-BE49-F238E27FC236}">
              <a16:creationId xmlns:a16="http://schemas.microsoft.com/office/drawing/2014/main" xmlns="" id="{C389AE7E-BFED-4722-9A63-6EBF08F3DF08}"/>
            </a:ext>
          </a:extLst>
        </cdr:cNvPr>
        <cdr:cNvCxnSpPr/>
      </cdr:nvCxnSpPr>
      <cdr:spPr>
        <a:xfrm xmlns:a="http://schemas.openxmlformats.org/drawingml/2006/main">
          <a:off x="5263026" y="139136"/>
          <a:ext cx="0" cy="2015850"/>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0.9745</cdr:x>
      <cdr:y>0.03966</cdr:y>
    </cdr:from>
    <cdr:to>
      <cdr:x>0.9745</cdr:x>
      <cdr:y>0.70987</cdr:y>
    </cdr:to>
    <cdr:cxnSp macro="">
      <cdr:nvCxnSpPr>
        <cdr:cNvPr id="3" name="Conector recto 2">
          <a:extLst xmlns:a="http://schemas.openxmlformats.org/drawingml/2006/main">
            <a:ext uri="{FF2B5EF4-FFF2-40B4-BE49-F238E27FC236}">
              <a16:creationId xmlns:a16="http://schemas.microsoft.com/office/drawing/2014/main" xmlns="" id="{2E6F7ED8-3F8E-4B17-BB1A-4BB82E326D5C}"/>
            </a:ext>
          </a:extLst>
        </cdr:cNvPr>
        <cdr:cNvCxnSpPr/>
      </cdr:nvCxnSpPr>
      <cdr:spPr>
        <a:xfrm xmlns:a="http://schemas.openxmlformats.org/drawingml/2006/main">
          <a:off x="5262300" y="134209"/>
          <a:ext cx="0" cy="2268000"/>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0.97412</cdr:x>
      <cdr:y>0.04107</cdr:y>
    </cdr:from>
    <cdr:to>
      <cdr:x>0.97412</cdr:x>
      <cdr:y>0.82996</cdr:y>
    </cdr:to>
    <cdr:cxnSp macro="">
      <cdr:nvCxnSpPr>
        <cdr:cNvPr id="4" name="Conector recto 3">
          <a:extLst xmlns:a="http://schemas.openxmlformats.org/drawingml/2006/main">
            <a:ext uri="{FF2B5EF4-FFF2-40B4-BE49-F238E27FC236}">
              <a16:creationId xmlns:a16="http://schemas.microsoft.com/office/drawing/2014/main" xmlns="" id="{014B0A3F-5660-4D56-89FB-1E84FB7DD131}"/>
            </a:ext>
          </a:extLst>
        </cdr:cNvPr>
        <cdr:cNvCxnSpPr/>
      </cdr:nvCxnSpPr>
      <cdr:spPr>
        <a:xfrm xmlns:a="http://schemas.openxmlformats.org/drawingml/2006/main">
          <a:off x="5260248" y="133066"/>
          <a:ext cx="0" cy="2556000"/>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C210-7EFE-EC48-A4C2-31EB5A10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52635</Words>
  <Characters>289493</Characters>
  <Application>Microsoft Macintosh Word</Application>
  <DocSecurity>0</DocSecurity>
  <Lines>2412</Lines>
  <Paragraphs>682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Jaume I</Company>
  <LinksUpToDate>false</LinksUpToDate>
  <CharactersWithSpaces>341446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dc:creator>
  <cp:lastModifiedBy>Usuario de Microsoft Office</cp:lastModifiedBy>
  <cp:revision>2</cp:revision>
  <cp:lastPrinted>2017-12-11T12:02:00Z</cp:lastPrinted>
  <dcterms:created xsi:type="dcterms:W3CDTF">2024-01-26T10:35:00Z</dcterms:created>
  <dcterms:modified xsi:type="dcterms:W3CDTF">2024-01-26T10:35:00Z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http://www.zotero.org/styles/sustainable-energy-and-fuels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http://www.zotero.org/styles/environmental-science-and-technology</vt:lpwstr>
  </property>
  <property fmtid="{D5CDD505-2E9C-101B-9397-08002B2CF9AE}" pid="13" name="Mendeley Recent Style Name 4_1">
    <vt:lpwstr>Environmental Science &amp; Technology</vt:lpwstr>
  </property>
  <property fmtid="{D5CDD505-2E9C-101B-9397-08002B2CF9AE}" pid="14" name="Mendeley Recent Style Id 5_1">
    <vt:lpwstr>http://www.zotero.org/styles/harvard-cite-them-right</vt:lpwstr>
  </property>
  <property fmtid="{D5CDD505-2E9C-101B-9397-08002B2CF9AE}" pid="15" name="Mendeley Recent Style Name 5_1">
    <vt:lpwstr>Harvard - Cite Them Right 9th edition</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http://www.zotero.org/styles/sustainable-energy-and-fuels</vt:lpwstr>
  </property>
  <property fmtid="{D5CDD505-2E9C-101B-9397-08002B2CF9AE}" pid="23" name="Mendeley Recent Style Name 9_1">
    <vt:lpwstr>Sustainable Energy &amp; Fuels</vt:lpwstr>
  </property>
  <property fmtid="{D5CDD505-2E9C-101B-9397-08002B2CF9AE}" pid="24" name="Mendeley Unique User Id_1">
    <vt:lpwstr>a6123fa6-d844-3ed5-96d2-4237d92059b4</vt:lpwstr>
  </property>
</Properties>
</file>