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742B" w14:textId="77777777" w:rsidR="00433379" w:rsidRPr="00B9706F" w:rsidRDefault="00433379" w:rsidP="00433379">
      <w:pPr>
        <w:pStyle w:val="Ttulo1"/>
      </w:pPr>
      <w:r w:rsidRPr="00B9706F">
        <w:t>Annex I</w:t>
      </w:r>
    </w:p>
    <w:p w14:paraId="4FDC7B60" w14:textId="77777777" w:rsidR="00433379" w:rsidRPr="00B9706F" w:rsidRDefault="00433379" w:rsidP="00433379">
      <w:pPr>
        <w:rPr>
          <w:lang w:val="en-GB"/>
        </w:rPr>
      </w:pPr>
      <w:r w:rsidRPr="00B9706F">
        <w:rPr>
          <w:lang w:val="en-GB"/>
        </w:rPr>
        <w:t xml:space="preserve">In this section, the calculations needed to obtain the COP (Eq.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_Ref168398331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1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) of each of the cycles, defined as objective function, are presented. The cooling capacity (Eq.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_Ref168398374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2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>) corresponds to the refrigerant mass flow rate multiplied by the enthalpy difference in the evaporator, where the inlet enthalpy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GB"/>
              </w:rPr>
              <m:t>5i</m:t>
            </m:r>
          </m:sub>
        </m:sSub>
      </m:oMath>
      <w:r w:rsidRPr="00B9706F">
        <w:rPr>
          <w:lang w:val="en-GB"/>
        </w:rPr>
        <w:t xml:space="preserve">) depends on the considered cycle. The net cycle electrical power consumption (Eq.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_Ref168398381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3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) is the sum of the input to the compressor and to the </w:t>
      </w:r>
      <w:proofErr w:type="spellStart"/>
      <w:r w:rsidRPr="00B9706F">
        <w:rPr>
          <w:lang w:val="en-GB"/>
        </w:rPr>
        <w:t>eC</w:t>
      </w:r>
      <w:proofErr w:type="spellEnd"/>
      <w:r w:rsidRPr="00B9706F">
        <w:rPr>
          <w:lang w:val="en-GB"/>
        </w:rPr>
        <w:t xml:space="preserve"> device minus the electrical energy recovered by the expander.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4"/>
        <w:gridCol w:w="1150"/>
      </w:tblGrid>
      <w:tr w:rsidR="00433379" w:rsidRPr="00B9706F" w14:paraId="0F376926" w14:textId="77777777" w:rsidTr="006F605D">
        <w:tc>
          <w:tcPr>
            <w:tcW w:w="7344" w:type="dxa"/>
            <w:vAlign w:val="center"/>
          </w:tcPr>
          <w:p w14:paraId="5875DEFA" w14:textId="77777777" w:rsidR="00433379" w:rsidRPr="00B9706F" w:rsidRDefault="00433379" w:rsidP="006F605D">
            <w:pPr>
              <w:pStyle w:val="Descripcin"/>
            </w:pPr>
            <m:oMathPara>
              <m:oMath>
                <m:r>
                  <w:rPr>
                    <w:rFonts w:ascii="Cambria Math" w:hAnsi="Cambria Math"/>
                  </w:rPr>
                  <m:t>COP=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</m:oMath>
            </m:oMathPara>
          </w:p>
        </w:tc>
        <w:tc>
          <w:tcPr>
            <w:tcW w:w="1150" w:type="dxa"/>
            <w:vAlign w:val="center"/>
          </w:tcPr>
          <w:p w14:paraId="3CF7F323" w14:textId="77777777" w:rsidR="00433379" w:rsidRPr="00B9706F" w:rsidRDefault="00433379" w:rsidP="006F605D">
            <w:pPr>
              <w:pStyle w:val="Descripcin"/>
              <w:rPr>
                <w:rFonts w:ascii="Arial Nova Cond Light" w:hAnsi="Arial Nova Cond Light"/>
                <w:i w:val="0"/>
                <w:iCs w:val="0"/>
                <w:sz w:val="22"/>
                <w:szCs w:val="22"/>
                <w:lang w:val="es-ES"/>
              </w:rPr>
            </w:pPr>
            <w:bookmarkStart w:id="0" w:name="_Ref168398331"/>
            <w:r w:rsidRPr="00B9706F">
              <w:rPr>
                <w:rFonts w:ascii="Arial Nova Cond Light" w:hAnsi="Arial Nova Cond Light"/>
                <w:i w:val="0"/>
                <w:iCs w:val="0"/>
                <w:sz w:val="22"/>
                <w:szCs w:val="22"/>
                <w:lang w:val="es-ES"/>
              </w:rPr>
              <w:t xml:space="preserve">(I. </w:t>
            </w:r>
            <w:r w:rsidRPr="00B9706F">
              <w:rPr>
                <w:rFonts w:ascii="Arial Nova Cond Light" w:hAnsi="Arial Nova Cond Light"/>
                <w:i w:val="0"/>
                <w:iCs w:val="0"/>
                <w:sz w:val="22"/>
                <w:szCs w:val="22"/>
                <w:lang w:val="es-ES"/>
              </w:rPr>
              <w:fldChar w:fldCharType="begin"/>
            </w:r>
            <w:r w:rsidRPr="00B9706F">
              <w:rPr>
                <w:rFonts w:ascii="Arial Nova Cond Light" w:hAnsi="Arial Nova Cond Light"/>
                <w:i w:val="0"/>
                <w:iCs w:val="0"/>
                <w:sz w:val="22"/>
                <w:szCs w:val="22"/>
                <w:lang w:val="es-ES"/>
              </w:rPr>
              <w:instrText xml:space="preserve"> SEQ (I. \* ARABIC </w:instrText>
            </w:r>
            <w:r w:rsidRPr="00B9706F">
              <w:rPr>
                <w:rFonts w:ascii="Arial Nova Cond Light" w:hAnsi="Arial Nova Cond Light"/>
                <w:i w:val="0"/>
                <w:iCs w:val="0"/>
                <w:sz w:val="22"/>
                <w:szCs w:val="22"/>
                <w:lang w:val="es-ES"/>
              </w:rPr>
              <w:fldChar w:fldCharType="separate"/>
            </w:r>
            <w:r w:rsidRPr="00B9706F">
              <w:rPr>
                <w:rFonts w:ascii="Arial Nova Cond Light" w:hAnsi="Arial Nova Cond Light"/>
                <w:i w:val="0"/>
                <w:iCs w:val="0"/>
                <w:noProof/>
                <w:sz w:val="22"/>
                <w:szCs w:val="22"/>
                <w:lang w:val="es-ES"/>
              </w:rPr>
              <w:t>1</w:t>
            </w:r>
            <w:r w:rsidRPr="00B9706F">
              <w:rPr>
                <w:rFonts w:ascii="Arial Nova Cond Light" w:hAnsi="Arial Nova Cond Light"/>
                <w:i w:val="0"/>
                <w:iCs w:val="0"/>
                <w:sz w:val="22"/>
                <w:szCs w:val="22"/>
                <w:lang w:val="es-ES"/>
              </w:rPr>
              <w:fldChar w:fldCharType="end"/>
            </w:r>
            <w:r w:rsidRPr="00B9706F">
              <w:rPr>
                <w:rFonts w:ascii="Arial Nova Cond Light" w:hAnsi="Arial Nova Cond Light"/>
                <w:i w:val="0"/>
                <w:iCs w:val="0"/>
                <w:sz w:val="22"/>
                <w:szCs w:val="22"/>
                <w:lang w:val="es-ES"/>
              </w:rPr>
              <w:t>)</w:t>
            </w:r>
            <w:bookmarkEnd w:id="0"/>
          </w:p>
        </w:tc>
      </w:tr>
      <w:tr w:rsidR="00433379" w:rsidRPr="00B9706F" w14:paraId="751B2353" w14:textId="77777777" w:rsidTr="006F605D">
        <w:tc>
          <w:tcPr>
            <w:tcW w:w="7344" w:type="dxa"/>
            <w:vAlign w:val="center"/>
          </w:tcPr>
          <w:p w14:paraId="5BC98BB4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  <m:r>
                  <w:rPr>
                    <w:rFonts w:ascii="Cambria Math" w:hAnsi="Cambria Math"/>
                  </w:rPr>
                  <m:t>·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5,i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150" w:type="dxa"/>
            <w:vAlign w:val="center"/>
          </w:tcPr>
          <w:p w14:paraId="5E015B5F" w14:textId="77777777" w:rsidR="00433379" w:rsidRPr="00B9706F" w:rsidRDefault="00433379" w:rsidP="006F605D">
            <w:pPr>
              <w:jc w:val="center"/>
              <w:rPr>
                <w:lang w:val="en-GB"/>
              </w:rPr>
            </w:pPr>
            <w:bookmarkStart w:id="1" w:name="_Ref168398374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2</w:t>
            </w:r>
            <w:r w:rsidRPr="00B9706F">
              <w:fldChar w:fldCharType="end"/>
            </w:r>
            <w:r w:rsidRPr="00B9706F">
              <w:t>)</w:t>
            </w:r>
            <w:bookmarkEnd w:id="1"/>
          </w:p>
        </w:tc>
      </w:tr>
      <w:tr w:rsidR="00433379" w:rsidRPr="00B9706F" w14:paraId="7D07B0C0" w14:textId="77777777" w:rsidTr="006F605D">
        <w:tc>
          <w:tcPr>
            <w:tcW w:w="7344" w:type="dxa"/>
            <w:vAlign w:val="center"/>
          </w:tcPr>
          <w:p w14:paraId="2D2722DC" w14:textId="77777777" w:rsidR="00433379" w:rsidRPr="00B9706F" w:rsidRDefault="00433379" w:rsidP="006F605D">
            <w:pPr>
              <w:pStyle w:val="Descripcin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eC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exp</m:t>
                    </m:r>
                  </m:sub>
                </m:sSub>
              </m:oMath>
            </m:oMathPara>
          </w:p>
        </w:tc>
        <w:tc>
          <w:tcPr>
            <w:tcW w:w="1150" w:type="dxa"/>
            <w:vAlign w:val="center"/>
          </w:tcPr>
          <w:p w14:paraId="51712790" w14:textId="77777777" w:rsidR="00433379" w:rsidRPr="00B9706F" w:rsidRDefault="00433379" w:rsidP="006F605D">
            <w:pPr>
              <w:keepNext/>
              <w:jc w:val="center"/>
              <w:rPr>
                <w:lang w:val="en-GB"/>
              </w:rPr>
            </w:pPr>
            <w:bookmarkStart w:id="2" w:name="_Ref168398381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3</w:t>
            </w:r>
            <w:r w:rsidRPr="00B9706F">
              <w:fldChar w:fldCharType="end"/>
            </w:r>
            <w:r w:rsidRPr="00B9706F">
              <w:t>)</w:t>
            </w:r>
            <w:bookmarkEnd w:id="2"/>
          </w:p>
        </w:tc>
      </w:tr>
    </w:tbl>
    <w:p w14:paraId="2B14B61B" w14:textId="77777777" w:rsidR="00433379" w:rsidRPr="00B9706F" w:rsidRDefault="00433379" w:rsidP="00433379">
      <w:pPr>
        <w:rPr>
          <w:lang w:val="en-GB"/>
        </w:rPr>
      </w:pPr>
      <w:r w:rsidRPr="00B9706F">
        <w:rPr>
          <w:lang w:val="en-GB"/>
        </w:rPr>
        <w:t>Three evaluated cycles have the following common thermodynamic states: the enthalpy at compressor suction (point 1 in Fig. 2) is evaluated by the evaporating pressure and with a fixed degree of superheat (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ΔT</m:t>
            </m:r>
          </m:e>
          <m:sub>
            <m:r>
              <w:rPr>
                <w:rFonts w:ascii="Cambria Math" w:hAnsi="Cambria Math"/>
                <w:lang w:val="en-GB"/>
              </w:rPr>
              <m:t>SH</m:t>
            </m:r>
          </m:sub>
        </m:sSub>
      </m:oMath>
      <w:r w:rsidRPr="00B9706F">
        <w:rPr>
          <w:lang w:val="en-GB"/>
        </w:rPr>
        <w:t xml:space="preserve">); the discharge enthalpy (point 2 in Fig. 2) is evaluated by considering the overall effectiveness of the compressor and the isentropic discharge enthalpy using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_Ref168398512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>(I. 6)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 [1], where the overall effectiveness of the compressor (Eq.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_Ref168398529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>(I. 5)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) was obtained by the same author from experimental data [2, 3]. Temperature at the exit of the gas-cooler is equal to the heat rejection temperature plus the approach temperature in the heat exchanger (Eq.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_Ref168398546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t>(I. 7)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>) [4].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4"/>
        <w:gridCol w:w="1150"/>
      </w:tblGrid>
      <w:tr w:rsidR="00433379" w:rsidRPr="00B9706F" w14:paraId="38B673AA" w14:textId="77777777" w:rsidTr="006F605D">
        <w:tc>
          <w:tcPr>
            <w:tcW w:w="7344" w:type="dxa"/>
            <w:vAlign w:val="center"/>
          </w:tcPr>
          <w:p w14:paraId="549AE321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SH</m:t>
                    </m:r>
                  </m:sub>
                </m:sSub>
              </m:oMath>
            </m:oMathPara>
          </w:p>
        </w:tc>
        <w:tc>
          <w:tcPr>
            <w:tcW w:w="1150" w:type="dxa"/>
            <w:vAlign w:val="center"/>
          </w:tcPr>
          <w:p w14:paraId="5508411A" w14:textId="77777777" w:rsidR="00433379" w:rsidRPr="00B9706F" w:rsidRDefault="00433379" w:rsidP="006F605D">
            <w:pPr>
              <w:jc w:val="center"/>
            </w:pPr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4</w:t>
            </w:r>
            <w:r w:rsidRPr="00B9706F">
              <w:fldChar w:fldCharType="end"/>
            </w:r>
            <w:r w:rsidRPr="00B9706F">
              <w:t>)</w:t>
            </w:r>
          </w:p>
        </w:tc>
      </w:tr>
      <w:tr w:rsidR="00433379" w:rsidRPr="00B9706F" w14:paraId="6B02D049" w14:textId="77777777" w:rsidTr="006F605D">
        <w:tc>
          <w:tcPr>
            <w:tcW w:w="7344" w:type="dxa"/>
            <w:vAlign w:val="center"/>
          </w:tcPr>
          <w:p w14:paraId="4A8005D7" w14:textId="77777777" w:rsidR="00433379" w:rsidRPr="00B9706F" w:rsidRDefault="00000000" w:rsidP="006F605D">
            <w:pPr>
              <w:pStyle w:val="Descripcin"/>
              <w:rPr>
                <w:rFonts w:eastAsia="Calibri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=0.7634-0.0021·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+0.0013·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gc</m:t>
                    </m:r>
                  </m:sub>
                </m:sSub>
                <m:r>
                  <w:rPr>
                    <w:rFonts w:ascii="Cambria Math" w:hAnsi="Cambria Math"/>
                  </w:rPr>
                  <m:t>-0.0571·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+0.5425·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suc</m:t>
                    </m:r>
                  </m:sub>
                </m:sSub>
              </m:oMath>
            </m:oMathPara>
          </w:p>
        </w:tc>
        <w:tc>
          <w:tcPr>
            <w:tcW w:w="1150" w:type="dxa"/>
            <w:vAlign w:val="center"/>
          </w:tcPr>
          <w:p w14:paraId="2C6CF514" w14:textId="77777777" w:rsidR="00433379" w:rsidRPr="00B9706F" w:rsidRDefault="00433379" w:rsidP="006F605D">
            <w:pPr>
              <w:jc w:val="center"/>
            </w:pPr>
            <w:bookmarkStart w:id="3" w:name="_Ref168398529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5</w:t>
            </w:r>
            <w:r w:rsidRPr="00B9706F">
              <w:fldChar w:fldCharType="end"/>
            </w:r>
            <w:r w:rsidRPr="00B9706F">
              <w:t>)</w:t>
            </w:r>
            <w:bookmarkEnd w:id="3"/>
          </w:p>
        </w:tc>
      </w:tr>
      <w:tr w:rsidR="00433379" w:rsidRPr="00B9706F" w14:paraId="7FD76B6F" w14:textId="77777777" w:rsidTr="006F605D">
        <w:tc>
          <w:tcPr>
            <w:tcW w:w="7344" w:type="dxa"/>
            <w:vAlign w:val="center"/>
          </w:tcPr>
          <w:p w14:paraId="65FD806C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2,s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50" w:type="dxa"/>
            <w:vAlign w:val="center"/>
          </w:tcPr>
          <w:p w14:paraId="49348B79" w14:textId="77777777" w:rsidR="00433379" w:rsidRPr="00B9706F" w:rsidRDefault="00433379" w:rsidP="006F605D">
            <w:pPr>
              <w:jc w:val="center"/>
            </w:pPr>
            <w:bookmarkStart w:id="4" w:name="_Ref168398512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6</w:t>
            </w:r>
            <w:r w:rsidRPr="00B9706F">
              <w:fldChar w:fldCharType="end"/>
            </w:r>
            <w:r w:rsidRPr="00B9706F">
              <w:t>)</w:t>
            </w:r>
            <w:bookmarkEnd w:id="4"/>
          </w:p>
        </w:tc>
      </w:tr>
      <w:tr w:rsidR="00433379" w:rsidRPr="00B9706F" w14:paraId="4F5CA7E3" w14:textId="77777777" w:rsidTr="006F605D">
        <w:tc>
          <w:tcPr>
            <w:tcW w:w="7344" w:type="dxa"/>
            <w:vAlign w:val="center"/>
          </w:tcPr>
          <w:p w14:paraId="0641704C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env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ΔT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gc</m:t>
                    </m:r>
                  </m:sub>
                </m:sSub>
              </m:oMath>
            </m:oMathPara>
          </w:p>
        </w:tc>
        <w:tc>
          <w:tcPr>
            <w:tcW w:w="1150" w:type="dxa"/>
            <w:vAlign w:val="center"/>
          </w:tcPr>
          <w:p w14:paraId="177DC78A" w14:textId="77777777" w:rsidR="00433379" w:rsidRPr="00B9706F" w:rsidRDefault="00433379" w:rsidP="006F605D">
            <w:pPr>
              <w:jc w:val="center"/>
            </w:pPr>
            <w:bookmarkStart w:id="5" w:name="_Ref168398546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7</w:t>
            </w:r>
            <w:r w:rsidRPr="00B9706F">
              <w:fldChar w:fldCharType="end"/>
            </w:r>
            <w:r w:rsidRPr="00B9706F">
              <w:t>)</w:t>
            </w:r>
            <w:bookmarkEnd w:id="5"/>
          </w:p>
        </w:tc>
      </w:tr>
    </w:tbl>
    <w:p w14:paraId="30A1967E" w14:textId="77777777" w:rsidR="00433379" w:rsidRPr="00B9706F" w:rsidRDefault="00433379" w:rsidP="00433379">
      <w:pPr>
        <w:rPr>
          <w:lang w:val="en-GB"/>
        </w:rPr>
      </w:pPr>
      <w:r w:rsidRPr="00B9706F">
        <w:rPr>
          <w:lang w:val="en-GB"/>
        </w:rPr>
        <w:t>The electrical power input to the compressor is defined as.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4"/>
        <w:gridCol w:w="1150"/>
      </w:tblGrid>
      <w:tr w:rsidR="00433379" w:rsidRPr="00B9706F" w14:paraId="145AFDD0" w14:textId="77777777" w:rsidTr="006F605D">
        <w:tc>
          <w:tcPr>
            <w:tcW w:w="7344" w:type="dxa"/>
            <w:vAlign w:val="center"/>
          </w:tcPr>
          <w:p w14:paraId="4217303F" w14:textId="77777777" w:rsidR="00433379" w:rsidRPr="00B9706F" w:rsidRDefault="00000000" w:rsidP="006F605D">
            <w:pPr>
              <w:pStyle w:val="Descripcin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  <m:r>
                  <w:rPr>
                    <w:rFonts w:ascii="Cambria Math" w:hAnsi="Cambria Math"/>
                  </w:rPr>
                  <m:t>·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150" w:type="dxa"/>
          </w:tcPr>
          <w:p w14:paraId="0EA2BDE0" w14:textId="77777777" w:rsidR="00433379" w:rsidRPr="00B9706F" w:rsidRDefault="00433379" w:rsidP="006F605D">
            <w:pPr>
              <w:jc w:val="center"/>
            </w:pPr>
            <w:bookmarkStart w:id="6" w:name="_Ref168398687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8</w:t>
            </w:r>
            <w:r w:rsidRPr="00B9706F">
              <w:fldChar w:fldCharType="end"/>
            </w:r>
            <w:r w:rsidRPr="00B9706F">
              <w:t>)</w:t>
            </w:r>
            <w:bookmarkEnd w:id="6"/>
          </w:p>
        </w:tc>
      </w:tr>
    </w:tbl>
    <w:p w14:paraId="01C7DA53" w14:textId="77777777" w:rsidR="00433379" w:rsidRPr="00B9706F" w:rsidRDefault="00433379" w:rsidP="00433379">
      <w:pPr>
        <w:rPr>
          <w:lang w:val="en-GB"/>
        </w:rPr>
      </w:pPr>
      <w:r w:rsidRPr="00B9706F">
        <w:rPr>
          <w:lang w:val="en-GB"/>
        </w:rPr>
        <w:t>Each of the evaluated cycles shown in Fig. 2 have the following specific thermodynamic relations:</w:t>
      </w:r>
    </w:p>
    <w:p w14:paraId="6B0F59BF" w14:textId="77777777" w:rsidR="00433379" w:rsidRPr="00B9706F" w:rsidRDefault="00433379" w:rsidP="00433379">
      <w:pPr>
        <w:rPr>
          <w:lang w:val="en-GB"/>
        </w:rPr>
      </w:pPr>
      <w:r w:rsidRPr="00B9706F">
        <w:rPr>
          <w:b/>
          <w:bCs/>
          <w:lang w:val="en-GB"/>
        </w:rPr>
        <w:t xml:space="preserve">- The baseline cycle (Fig. 2a). </w:t>
      </w:r>
      <w:r w:rsidRPr="00B9706F">
        <w:rPr>
          <w:lang w:val="en-GB"/>
        </w:rPr>
        <w:t xml:space="preserve">Expansion processes are considered isenthalpic, therefore enthalpy at the inlet of the evaporator is equal to that at the exit of the gas-cooler (Eq.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_Ref168398669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9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). Combining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_Ref168398331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GB"/>
        </w:rPr>
        <w:t>(I. 1)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,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_Ref168398374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GB"/>
        </w:rPr>
        <w:t>(I. 2)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 and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_Ref168398687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>(I. 8)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, the COP for the baseline cycle can be written by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_Ref168398710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10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>.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4"/>
        <w:gridCol w:w="1150"/>
      </w:tblGrid>
      <w:tr w:rsidR="00433379" w:rsidRPr="00B9706F" w14:paraId="40EA6332" w14:textId="77777777" w:rsidTr="006F605D">
        <w:tc>
          <w:tcPr>
            <w:tcW w:w="7344" w:type="dxa"/>
          </w:tcPr>
          <w:p w14:paraId="46F2EC0D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50" w:type="dxa"/>
          </w:tcPr>
          <w:p w14:paraId="70567C45" w14:textId="77777777" w:rsidR="00433379" w:rsidRPr="00B9706F" w:rsidRDefault="00433379" w:rsidP="006F605D">
            <w:pPr>
              <w:jc w:val="center"/>
              <w:rPr>
                <w:lang w:val="en-GB"/>
              </w:rPr>
            </w:pPr>
            <w:bookmarkStart w:id="7" w:name="_Ref168398669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9</w:t>
            </w:r>
            <w:r w:rsidRPr="00B9706F">
              <w:fldChar w:fldCharType="end"/>
            </w:r>
            <w:r w:rsidRPr="00B9706F">
              <w:t>)</w:t>
            </w:r>
            <w:bookmarkEnd w:id="7"/>
          </w:p>
        </w:tc>
      </w:tr>
      <w:tr w:rsidR="00433379" w:rsidRPr="00B9706F" w14:paraId="1F6E97AE" w14:textId="77777777" w:rsidTr="006F605D">
        <w:tc>
          <w:tcPr>
            <w:tcW w:w="7344" w:type="dxa"/>
            <w:vAlign w:val="center"/>
          </w:tcPr>
          <w:p w14:paraId="7AEC4004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5a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50" w:type="dxa"/>
            <w:vAlign w:val="center"/>
          </w:tcPr>
          <w:p w14:paraId="5460C4E6" w14:textId="77777777" w:rsidR="00433379" w:rsidRPr="00B9706F" w:rsidRDefault="00433379" w:rsidP="006F605D">
            <w:pPr>
              <w:jc w:val="center"/>
              <w:rPr>
                <w:lang w:val="en-GB"/>
              </w:rPr>
            </w:pPr>
            <w:bookmarkStart w:id="8" w:name="_Ref168398710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10</w:t>
            </w:r>
            <w:r w:rsidRPr="00B9706F">
              <w:fldChar w:fldCharType="end"/>
            </w:r>
            <w:r w:rsidRPr="00B9706F">
              <w:t>)</w:t>
            </w:r>
            <w:bookmarkEnd w:id="8"/>
          </w:p>
        </w:tc>
      </w:tr>
    </w:tbl>
    <w:p w14:paraId="70BDA5CE" w14:textId="77777777" w:rsidR="00433379" w:rsidRPr="00B9706F" w:rsidRDefault="00433379" w:rsidP="00433379">
      <w:pPr>
        <w:rPr>
          <w:rFonts w:eastAsiaTheme="minorEastAsia"/>
          <w:lang w:val="en-GB"/>
        </w:rPr>
      </w:pPr>
      <w:r w:rsidRPr="00B9706F">
        <w:rPr>
          <w:b/>
          <w:bCs/>
          <w:lang w:val="en-GB"/>
        </w:rPr>
        <w:t xml:space="preserve">- Cycle with </w:t>
      </w:r>
      <w:proofErr w:type="spellStart"/>
      <w:r w:rsidRPr="00B9706F">
        <w:rPr>
          <w:b/>
          <w:bCs/>
          <w:lang w:val="en-GB"/>
        </w:rPr>
        <w:t>elastocaloric</w:t>
      </w:r>
      <w:proofErr w:type="spellEnd"/>
      <w:r w:rsidRPr="00B9706F">
        <w:rPr>
          <w:b/>
          <w:bCs/>
          <w:lang w:val="en-GB"/>
        </w:rPr>
        <w:t xml:space="preserve"> </w:t>
      </w:r>
      <w:proofErr w:type="spellStart"/>
      <w:r w:rsidRPr="00B9706F">
        <w:rPr>
          <w:b/>
          <w:bCs/>
          <w:lang w:val="en-GB"/>
        </w:rPr>
        <w:t>subcooler</w:t>
      </w:r>
      <w:proofErr w:type="spellEnd"/>
      <w:r w:rsidRPr="00B9706F">
        <w:rPr>
          <w:b/>
          <w:bCs/>
          <w:lang w:val="en-GB"/>
        </w:rPr>
        <w:t xml:space="preserve"> (Fig. 2b). </w:t>
      </w:r>
      <w:r w:rsidRPr="00B9706F">
        <w:rPr>
          <w:lang w:val="en-GB"/>
        </w:rPr>
        <w:t xml:space="preserve">The </w:t>
      </w:r>
      <w:proofErr w:type="spellStart"/>
      <w:r w:rsidRPr="00B9706F">
        <w:rPr>
          <w:lang w:val="en-GB"/>
        </w:rPr>
        <w:t>eC</w:t>
      </w:r>
      <w:proofErr w:type="spellEnd"/>
      <w:r w:rsidRPr="00B9706F">
        <w:rPr>
          <w:lang w:val="en-GB"/>
        </w:rPr>
        <w:t xml:space="preserve"> </w:t>
      </w:r>
      <w:proofErr w:type="spellStart"/>
      <w:r w:rsidRPr="00B9706F">
        <w:rPr>
          <w:lang w:val="en-GB"/>
        </w:rPr>
        <w:t>subcooler</w:t>
      </w:r>
      <w:proofErr w:type="spellEnd"/>
      <w:r w:rsidRPr="00B9706F">
        <w:rPr>
          <w:lang w:val="en-GB"/>
        </w:rPr>
        <w:t xml:space="preserve"> cools down the CO</w:t>
      </w:r>
      <w:r w:rsidRPr="00B9706F">
        <w:rPr>
          <w:vertAlign w:val="subscript"/>
          <w:lang w:val="en-GB"/>
        </w:rPr>
        <w:t>2</w:t>
      </w:r>
      <w:r w:rsidRPr="00B9706F">
        <w:rPr>
          <w:lang w:val="en-GB"/>
        </w:rPr>
        <w:t xml:space="preserve"> at the exit of the gas-cooler. The subcooling degree is expressed by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_Ref168398741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11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 and the enthalpy at the exit of the </w:t>
      </w:r>
      <w:proofErr w:type="spellStart"/>
      <w:r w:rsidRPr="00B9706F">
        <w:rPr>
          <w:lang w:val="en-GB"/>
        </w:rPr>
        <w:t>subcooler</w:t>
      </w:r>
      <w:proofErr w:type="spellEnd"/>
      <w:r w:rsidRPr="00B9706F">
        <w:rPr>
          <w:lang w:val="en-GB"/>
        </w:rPr>
        <w:t xml:space="preserve"> (point 4b in Fig. 2) is evaluated using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_Ref168398756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12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, where </w:t>
      </w:r>
      <m:oMath>
        <m:sSub>
          <m:sSubPr>
            <m:ctrlPr>
              <w:rPr>
                <w:rFonts w:ascii="Cambria Math" w:hAnsi="Cambria Math"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sub</m:t>
            </m:r>
          </m:sub>
        </m:sSub>
      </m:oMath>
      <w:r w:rsidRPr="00B9706F">
        <w:rPr>
          <w:rFonts w:eastAsiaTheme="minorEastAsia"/>
          <w:lang w:val="en-GB"/>
        </w:rPr>
        <w:t xml:space="preserve"> is the specific heat extracted with the subcooling system. Accordingly, the cooling capacity of the cycle can be expressed by Eq. </w:t>
      </w:r>
      <w:r w:rsidRPr="00B9706F">
        <w:rPr>
          <w:rFonts w:eastAsiaTheme="minorEastAsia"/>
          <w:lang w:val="en-GB"/>
        </w:rPr>
        <w:fldChar w:fldCharType="begin"/>
      </w:r>
      <w:r w:rsidRPr="00B9706F">
        <w:rPr>
          <w:rFonts w:eastAsiaTheme="minorEastAsia"/>
          <w:lang w:val="en-GB"/>
        </w:rPr>
        <w:instrText xml:space="preserve"> REF _Ref168398774 \h  \* MERGEFORMAT </w:instrText>
      </w:r>
      <w:r w:rsidRPr="00B9706F">
        <w:rPr>
          <w:rFonts w:eastAsiaTheme="minorEastAsia"/>
          <w:lang w:val="en-GB"/>
        </w:rPr>
      </w:r>
      <w:r w:rsidRPr="00B9706F">
        <w:rPr>
          <w:rFonts w:eastAsiaTheme="minorEastAsia"/>
          <w:lang w:val="en-GB"/>
        </w:rPr>
        <w:fldChar w:fldCharType="separate"/>
      </w:r>
      <w:r w:rsidRPr="00B9706F">
        <w:t xml:space="preserve">(I. </w:t>
      </w:r>
      <w:r w:rsidRPr="00B9706F">
        <w:rPr>
          <w:noProof/>
        </w:rPr>
        <w:t>13</w:t>
      </w:r>
      <w:r w:rsidRPr="00B9706F">
        <w:t>)</w:t>
      </w:r>
      <w:r w:rsidRPr="00B9706F">
        <w:rPr>
          <w:rFonts w:eastAsiaTheme="minorEastAsia"/>
          <w:lang w:val="en-GB"/>
        </w:rPr>
        <w:fldChar w:fldCharType="end"/>
      </w:r>
      <w:r w:rsidRPr="00B9706F">
        <w:rPr>
          <w:rFonts w:eastAsiaTheme="minorEastAsia"/>
          <w:lang w:val="en-GB"/>
        </w:rPr>
        <w:t>.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4"/>
        <w:gridCol w:w="1150"/>
      </w:tblGrid>
      <w:tr w:rsidR="00433379" w:rsidRPr="00B9706F" w14:paraId="69AAFF0F" w14:textId="77777777" w:rsidTr="006F605D">
        <w:tc>
          <w:tcPr>
            <w:tcW w:w="7344" w:type="dxa"/>
            <w:vAlign w:val="center"/>
          </w:tcPr>
          <w:p w14:paraId="368EC77F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∆T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sub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4c</m:t>
                    </m:r>
                  </m:sub>
                </m:sSub>
              </m:oMath>
            </m:oMathPara>
          </w:p>
        </w:tc>
        <w:tc>
          <w:tcPr>
            <w:tcW w:w="1150" w:type="dxa"/>
            <w:vAlign w:val="center"/>
          </w:tcPr>
          <w:p w14:paraId="1E883020" w14:textId="77777777" w:rsidR="00433379" w:rsidRPr="00B9706F" w:rsidRDefault="00433379" w:rsidP="006F605D">
            <w:pPr>
              <w:jc w:val="center"/>
              <w:rPr>
                <w:lang w:val="en-GB"/>
              </w:rPr>
            </w:pPr>
            <w:bookmarkStart w:id="9" w:name="_Ref168398741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11</w:t>
            </w:r>
            <w:r w:rsidRPr="00B9706F">
              <w:fldChar w:fldCharType="end"/>
            </w:r>
            <w:r w:rsidRPr="00B9706F">
              <w:t>)</w:t>
            </w:r>
            <w:bookmarkEnd w:id="9"/>
          </w:p>
        </w:tc>
      </w:tr>
      <w:tr w:rsidR="00433379" w:rsidRPr="00B9706F" w14:paraId="7A3CF24B" w14:textId="77777777" w:rsidTr="006F605D">
        <w:tc>
          <w:tcPr>
            <w:tcW w:w="7344" w:type="dxa"/>
            <w:vAlign w:val="center"/>
          </w:tcPr>
          <w:p w14:paraId="6007CE92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sub</m:t>
                    </m:r>
                  </m:sub>
                </m:sSub>
              </m:oMath>
            </m:oMathPara>
          </w:p>
        </w:tc>
        <w:tc>
          <w:tcPr>
            <w:tcW w:w="1150" w:type="dxa"/>
            <w:vAlign w:val="center"/>
          </w:tcPr>
          <w:p w14:paraId="268C9500" w14:textId="77777777" w:rsidR="00433379" w:rsidRPr="00B9706F" w:rsidRDefault="00433379" w:rsidP="006F605D">
            <w:pPr>
              <w:jc w:val="center"/>
              <w:rPr>
                <w:lang w:val="en-GB"/>
              </w:rPr>
            </w:pPr>
            <w:bookmarkStart w:id="10" w:name="_Ref168398756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12</w:t>
            </w:r>
            <w:r w:rsidRPr="00B9706F">
              <w:fldChar w:fldCharType="end"/>
            </w:r>
            <w:r w:rsidRPr="00B9706F">
              <w:t>)</w:t>
            </w:r>
            <w:bookmarkEnd w:id="10"/>
          </w:p>
        </w:tc>
      </w:tr>
      <w:tr w:rsidR="00433379" w:rsidRPr="00B9706F" w14:paraId="388F62AF" w14:textId="77777777" w:rsidTr="006F6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14:paraId="0F282A86" w14:textId="77777777" w:rsidR="00433379" w:rsidRPr="00B9706F" w:rsidRDefault="00000000" w:rsidP="006F605D">
            <w:pPr>
              <w:pStyle w:val="Descripcin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O,b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  <m:r>
                  <w:rPr>
                    <w:rFonts w:ascii="Cambria Math" w:hAnsi="Cambria Math"/>
                  </w:rPr>
                  <m:t>·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sub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12F41326" w14:textId="77777777" w:rsidR="00433379" w:rsidRPr="00B9706F" w:rsidRDefault="00433379" w:rsidP="006F605D">
            <w:pPr>
              <w:jc w:val="center"/>
              <w:rPr>
                <w:rFonts w:eastAsiaTheme="minorEastAsia"/>
                <w:lang w:val="en-GB"/>
              </w:rPr>
            </w:pPr>
            <w:bookmarkStart w:id="11" w:name="_Ref168398774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13</w:t>
            </w:r>
            <w:r w:rsidRPr="00B9706F">
              <w:fldChar w:fldCharType="end"/>
            </w:r>
            <w:r w:rsidRPr="00B9706F">
              <w:t>)</w:t>
            </w:r>
            <w:bookmarkEnd w:id="11"/>
          </w:p>
        </w:tc>
      </w:tr>
    </w:tbl>
    <w:p w14:paraId="6FC9B128" w14:textId="77777777" w:rsidR="00433379" w:rsidRPr="00B9706F" w:rsidRDefault="00433379" w:rsidP="00433379">
      <w:pPr>
        <w:rPr>
          <w:lang w:val="en-GB"/>
        </w:rPr>
      </w:pPr>
      <w:r w:rsidRPr="00B9706F">
        <w:rPr>
          <w:lang w:val="en-GB"/>
        </w:rPr>
        <w:t xml:space="preserve">The net power input of this configuration is the sum of the compressor power consumption (Eq.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_Ref168398687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>(I. 8)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) and the power input to the </w:t>
      </w:r>
      <w:proofErr w:type="spellStart"/>
      <w:r w:rsidRPr="00B9706F">
        <w:rPr>
          <w:lang w:val="en-GB"/>
        </w:rPr>
        <w:t>eC</w:t>
      </w:r>
      <w:proofErr w:type="spellEnd"/>
      <w:r w:rsidRPr="00B9706F">
        <w:rPr>
          <w:lang w:val="en-GB"/>
        </w:rPr>
        <w:t xml:space="preserve"> device (Eq.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_Ref168398836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14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). The latter is calculated through the experimentally obtained COP values of the </w:t>
      </w:r>
      <w:proofErr w:type="spellStart"/>
      <w:r w:rsidRPr="00B9706F">
        <w:rPr>
          <w:lang w:val="en-GB"/>
        </w:rPr>
        <w:t>eC</w:t>
      </w:r>
      <w:proofErr w:type="spellEnd"/>
      <w:r w:rsidRPr="00B9706F">
        <w:rPr>
          <w:lang w:val="en-GB"/>
        </w:rPr>
        <w:t xml:space="preserve"> device (Table 1). Therefore, the COP of the cycle with </w:t>
      </w:r>
      <w:proofErr w:type="spellStart"/>
      <w:r w:rsidRPr="00B9706F">
        <w:rPr>
          <w:lang w:val="en-GB"/>
        </w:rPr>
        <w:t>eC</w:t>
      </w:r>
      <w:proofErr w:type="spellEnd"/>
      <w:r w:rsidRPr="00B9706F">
        <w:rPr>
          <w:lang w:val="en-GB"/>
        </w:rPr>
        <w:t xml:space="preserve"> </w:t>
      </w:r>
      <w:proofErr w:type="spellStart"/>
      <w:r w:rsidRPr="00B9706F">
        <w:rPr>
          <w:lang w:val="en-GB"/>
        </w:rPr>
        <w:t>subcooler</w:t>
      </w:r>
      <w:proofErr w:type="spellEnd"/>
      <w:r w:rsidRPr="00B9706F">
        <w:rPr>
          <w:lang w:val="en-GB"/>
        </w:rPr>
        <w:t xml:space="preserve"> can be expressed by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_Ref168398860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t xml:space="preserve">(I. </w:t>
      </w:r>
      <w:r w:rsidRPr="00B9706F">
        <w:rPr>
          <w:noProof/>
        </w:rPr>
        <w:t>15</w:t>
      </w:r>
      <w:r w:rsidRPr="00B9706F"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344"/>
        <w:gridCol w:w="1150"/>
      </w:tblGrid>
      <w:tr w:rsidR="00433379" w:rsidRPr="00B9706F" w14:paraId="1FDE18D0" w14:textId="77777777" w:rsidTr="006F605D"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14:paraId="279E46B7" w14:textId="77777777" w:rsidR="00433379" w:rsidRPr="00B9706F" w:rsidRDefault="00000000" w:rsidP="006F605D">
            <w:pPr>
              <w:pStyle w:val="Descripcin"/>
              <w:rPr>
                <w:rFonts w:eastAsia="Calibri"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eC,b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  <m:r>
                <w:rPr>
                  <w:rFonts w:ascii="Cambria Math" w:hAnsi="Cambria Math"/>
                </w:rPr>
                <m:t>·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sub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COP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eC</m:t>
                      </m:r>
                    </m:sub>
                  </m:sSub>
                </m:den>
              </m:f>
            </m:oMath>
            <w:r w:rsidR="00433379" w:rsidRPr="00B9706F">
              <w:rPr>
                <w:rFonts w:eastAsia="Calibri" w:cs="Times New Roman"/>
              </w:rPr>
              <w:t xml:space="preserve">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7E0BA5A1" w14:textId="77777777" w:rsidR="00433379" w:rsidRPr="00B9706F" w:rsidRDefault="00433379" w:rsidP="006F605D">
            <w:pPr>
              <w:jc w:val="center"/>
              <w:rPr>
                <w:rFonts w:eastAsiaTheme="minorEastAsia"/>
                <w:lang w:val="en-GB"/>
              </w:rPr>
            </w:pPr>
            <w:bookmarkStart w:id="12" w:name="_Ref168398836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14</w:t>
            </w:r>
            <w:r w:rsidRPr="00B9706F">
              <w:fldChar w:fldCharType="end"/>
            </w:r>
            <w:r w:rsidRPr="00B9706F">
              <w:t>)</w:t>
            </w:r>
            <w:bookmarkEnd w:id="12"/>
          </w:p>
        </w:tc>
      </w:tr>
      <w:tr w:rsidR="00433379" w:rsidRPr="00B9706F" w14:paraId="6A177319" w14:textId="77777777" w:rsidTr="006F605D"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14:paraId="266A98D7" w14:textId="77777777" w:rsidR="00433379" w:rsidRPr="00B9706F" w:rsidRDefault="00000000" w:rsidP="006F605D">
            <w:pPr>
              <w:pStyle w:val="Descripcin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O,b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eC,b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sub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sub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COP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eC</m:t>
                            </m:r>
                          </m:sub>
                        </m:sSub>
                      </m:den>
                    </m:f>
                  </m:den>
                </m:f>
              </m:oMath>
            </m:oMathPara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62762933" w14:textId="77777777" w:rsidR="00433379" w:rsidRPr="00B9706F" w:rsidRDefault="00433379" w:rsidP="006F605D">
            <w:pPr>
              <w:jc w:val="center"/>
              <w:rPr>
                <w:rFonts w:eastAsiaTheme="minorEastAsia"/>
                <w:lang w:val="en-GB"/>
              </w:rPr>
            </w:pPr>
            <w:bookmarkStart w:id="13" w:name="_Ref168398860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15</w:t>
            </w:r>
            <w:r w:rsidRPr="00B9706F">
              <w:fldChar w:fldCharType="end"/>
            </w:r>
            <w:r w:rsidRPr="00B9706F">
              <w:t>)</w:t>
            </w:r>
            <w:bookmarkEnd w:id="13"/>
          </w:p>
        </w:tc>
      </w:tr>
    </w:tbl>
    <w:p w14:paraId="20A783AA" w14:textId="77777777" w:rsidR="00433379" w:rsidRPr="00B9706F" w:rsidRDefault="00433379" w:rsidP="00433379">
      <w:pPr>
        <w:rPr>
          <w:lang w:val="en-GB"/>
        </w:rPr>
      </w:pPr>
      <w:r w:rsidRPr="00B9706F">
        <w:rPr>
          <w:b/>
          <w:bCs/>
          <w:lang w:val="en-GB"/>
        </w:rPr>
        <w:t>- Cycle with expander at the 2</w:t>
      </w:r>
      <w:r w:rsidRPr="00B9706F">
        <w:rPr>
          <w:b/>
          <w:bCs/>
          <w:vertAlign w:val="superscript"/>
          <w:lang w:val="en-GB"/>
        </w:rPr>
        <w:t>nd</w:t>
      </w:r>
      <w:r w:rsidRPr="00B9706F">
        <w:rPr>
          <w:b/>
          <w:bCs/>
          <w:lang w:val="en-GB"/>
        </w:rPr>
        <w:t xml:space="preserve"> expansion stage and </w:t>
      </w:r>
      <w:proofErr w:type="spellStart"/>
      <w:r w:rsidRPr="00B9706F">
        <w:rPr>
          <w:b/>
          <w:bCs/>
          <w:lang w:val="en-GB"/>
        </w:rPr>
        <w:t>elastocaloric</w:t>
      </w:r>
      <w:proofErr w:type="spellEnd"/>
      <w:r w:rsidRPr="00B9706F">
        <w:rPr>
          <w:b/>
          <w:bCs/>
          <w:lang w:val="en-GB"/>
        </w:rPr>
        <w:t xml:space="preserve"> </w:t>
      </w:r>
      <w:proofErr w:type="spellStart"/>
      <w:r w:rsidRPr="00B9706F">
        <w:rPr>
          <w:b/>
          <w:bCs/>
          <w:lang w:val="en-GB"/>
        </w:rPr>
        <w:t>subcooler</w:t>
      </w:r>
      <w:proofErr w:type="spellEnd"/>
      <w:r w:rsidRPr="00B9706F">
        <w:rPr>
          <w:b/>
          <w:bCs/>
          <w:lang w:val="en-GB"/>
        </w:rPr>
        <w:t xml:space="preserve"> (Fig. 2c). </w:t>
      </w:r>
      <w:r w:rsidRPr="00B9706F">
        <w:rPr>
          <w:lang w:val="en-GB"/>
        </w:rPr>
        <w:t>Finally, this configuration uses both sub-systems: energy recovery in the 2</w:t>
      </w:r>
      <w:r w:rsidRPr="00B9706F">
        <w:rPr>
          <w:vertAlign w:val="superscript"/>
          <w:lang w:val="en-GB"/>
        </w:rPr>
        <w:t>nd</w:t>
      </w:r>
      <w:r w:rsidRPr="00B9706F">
        <w:rPr>
          <w:lang w:val="en-GB"/>
        </w:rPr>
        <w:t xml:space="preserve"> expansion stage through a generic expander and electric generator that is used to drive the </w:t>
      </w:r>
      <w:proofErr w:type="spellStart"/>
      <w:r w:rsidRPr="00B9706F">
        <w:rPr>
          <w:lang w:val="en-GB"/>
        </w:rPr>
        <w:t>eC</w:t>
      </w:r>
      <w:proofErr w:type="spellEnd"/>
      <w:r w:rsidRPr="00B9706F">
        <w:rPr>
          <w:lang w:val="en-GB"/>
        </w:rPr>
        <w:t xml:space="preserve"> </w:t>
      </w:r>
      <w:proofErr w:type="spellStart"/>
      <w:r w:rsidRPr="00B9706F">
        <w:rPr>
          <w:lang w:val="en-GB"/>
        </w:rPr>
        <w:t>subcooler</w:t>
      </w:r>
      <w:proofErr w:type="spellEnd"/>
      <w:r w:rsidRPr="00B9706F">
        <w:rPr>
          <w:lang w:val="en-GB"/>
        </w:rPr>
        <w:t xml:space="preserve">, which further cools down the refrigerant at the exit of the gas-cooler for a certain subcooling degree as shown by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_Ref168398882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16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. The enthalpy at the exit of the </w:t>
      </w:r>
      <w:proofErr w:type="spellStart"/>
      <w:r w:rsidRPr="00B9706F">
        <w:rPr>
          <w:lang w:val="en-GB"/>
        </w:rPr>
        <w:t>subcooler</w:t>
      </w:r>
      <w:proofErr w:type="spellEnd"/>
      <w:r w:rsidRPr="00B9706F">
        <w:rPr>
          <w:lang w:val="en-GB"/>
        </w:rPr>
        <w:t xml:space="preserve"> is quantified with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_Ref168398889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17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>. Considering the expansion in the back-pressure as isenthalpic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GB"/>
              </w:rPr>
              <m:t>4c'</m:t>
            </m:r>
          </m:sub>
        </m:sSub>
        <m:r>
          <w:rPr>
            <w:rFonts w:ascii="Cambria Math" w:hAnsi="Cambria Math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GB"/>
              </w:rPr>
              <m:t>4c</m:t>
            </m:r>
          </m:sub>
        </m:sSub>
      </m:oMath>
      <w:r w:rsidRPr="00B9706F">
        <w:rPr>
          <w:iCs/>
          <w:lang w:val="en-GB"/>
        </w:rPr>
        <w:t>),</w:t>
      </w:r>
      <w:r w:rsidRPr="00B9706F">
        <w:rPr>
          <w:lang w:val="en-GB"/>
        </w:rPr>
        <w:t xml:space="preserve"> the enthalpy at the inlet of the evaporator and the cooling capacity can be calculated using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_Ref168398894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t xml:space="preserve">(I. </w:t>
      </w:r>
      <w:r w:rsidRPr="00B9706F">
        <w:rPr>
          <w:noProof/>
        </w:rPr>
        <w:t>18</w:t>
      </w:r>
      <w:r w:rsidRPr="00B9706F">
        <w:t>)</w:t>
      </w:r>
      <w:r w:rsidRPr="00B9706F">
        <w:rPr>
          <w:lang w:val="en-GB"/>
        </w:rPr>
        <w:fldChar w:fldCharType="end"/>
      </w:r>
      <w:r w:rsidRPr="00B9706F">
        <w:t xml:space="preserve"> </w:t>
      </w:r>
      <w:r w:rsidRPr="00B9706F">
        <w:rPr>
          <w:lang w:val="en-GB"/>
        </w:rPr>
        <w:t xml:space="preserve">and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_Ref168398900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t xml:space="preserve">(I. </w:t>
      </w:r>
      <w:r w:rsidRPr="00B9706F">
        <w:rPr>
          <w:noProof/>
        </w:rPr>
        <w:t>19</w:t>
      </w:r>
      <w:r w:rsidRPr="00B9706F"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>, respectively.</w:t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4"/>
        <w:gridCol w:w="1150"/>
      </w:tblGrid>
      <w:tr w:rsidR="00433379" w:rsidRPr="00B9706F" w14:paraId="0117EBEF" w14:textId="77777777" w:rsidTr="006F605D">
        <w:tc>
          <w:tcPr>
            <w:tcW w:w="7344" w:type="dxa"/>
            <w:vAlign w:val="center"/>
          </w:tcPr>
          <w:p w14:paraId="5572D4B7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∆T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sub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4c</m:t>
                    </m:r>
                  </m:sub>
                </m:sSub>
              </m:oMath>
            </m:oMathPara>
          </w:p>
        </w:tc>
        <w:tc>
          <w:tcPr>
            <w:tcW w:w="1150" w:type="dxa"/>
            <w:vAlign w:val="center"/>
          </w:tcPr>
          <w:p w14:paraId="31576705" w14:textId="77777777" w:rsidR="00433379" w:rsidRPr="00B9706F" w:rsidRDefault="00433379" w:rsidP="006F605D">
            <w:pPr>
              <w:jc w:val="center"/>
              <w:rPr>
                <w:lang w:val="en-GB"/>
              </w:rPr>
            </w:pPr>
            <w:bookmarkStart w:id="14" w:name="_Ref168398882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16</w:t>
            </w:r>
            <w:r w:rsidRPr="00B9706F">
              <w:fldChar w:fldCharType="end"/>
            </w:r>
            <w:r w:rsidRPr="00B9706F">
              <w:t>)</w:t>
            </w:r>
            <w:bookmarkEnd w:id="14"/>
          </w:p>
        </w:tc>
      </w:tr>
      <w:tr w:rsidR="00433379" w:rsidRPr="00B9706F" w14:paraId="15613B79" w14:textId="77777777" w:rsidTr="006F605D">
        <w:tc>
          <w:tcPr>
            <w:tcW w:w="7344" w:type="dxa"/>
            <w:vAlign w:val="center"/>
          </w:tcPr>
          <w:p w14:paraId="0DC2DD62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sub</m:t>
                    </m:r>
                  </m:sub>
                </m:sSub>
              </m:oMath>
            </m:oMathPara>
          </w:p>
        </w:tc>
        <w:tc>
          <w:tcPr>
            <w:tcW w:w="1150" w:type="dxa"/>
            <w:vAlign w:val="center"/>
          </w:tcPr>
          <w:p w14:paraId="07B3BCDE" w14:textId="77777777" w:rsidR="00433379" w:rsidRPr="00B9706F" w:rsidRDefault="00433379" w:rsidP="006F605D">
            <w:pPr>
              <w:jc w:val="center"/>
              <w:rPr>
                <w:lang w:val="en-GB"/>
              </w:rPr>
            </w:pPr>
            <w:bookmarkStart w:id="15" w:name="_Ref168398889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17</w:t>
            </w:r>
            <w:r w:rsidRPr="00B9706F">
              <w:fldChar w:fldCharType="end"/>
            </w:r>
            <w:r w:rsidRPr="00B9706F">
              <w:t>)</w:t>
            </w:r>
            <w:bookmarkEnd w:id="15"/>
          </w:p>
        </w:tc>
      </w:tr>
      <w:tr w:rsidR="00433379" w:rsidRPr="00B9706F" w14:paraId="27BE60C5" w14:textId="77777777" w:rsidTr="006F605D">
        <w:tc>
          <w:tcPr>
            <w:tcW w:w="7344" w:type="dxa"/>
            <w:vAlign w:val="center"/>
          </w:tcPr>
          <w:p w14:paraId="4E33503C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4c'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exp</m:t>
                    </m:r>
                  </m:sub>
                </m:sSub>
                <m:r>
                  <w:rPr>
                    <w:rFonts w:ascii="Cambria Math" w:hAnsi="Cambria Math"/>
                  </w:rPr>
                  <m:t>·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4c'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5c,s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150" w:type="dxa"/>
            <w:vAlign w:val="center"/>
          </w:tcPr>
          <w:p w14:paraId="2199E3A1" w14:textId="77777777" w:rsidR="00433379" w:rsidRPr="00B9706F" w:rsidRDefault="00433379" w:rsidP="006F605D">
            <w:pPr>
              <w:jc w:val="center"/>
              <w:rPr>
                <w:lang w:val="en-GB"/>
              </w:rPr>
            </w:pPr>
            <w:bookmarkStart w:id="16" w:name="_Ref168398894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18</w:t>
            </w:r>
            <w:r w:rsidRPr="00B9706F">
              <w:fldChar w:fldCharType="end"/>
            </w:r>
            <w:r w:rsidRPr="00B9706F">
              <w:t>)</w:t>
            </w:r>
            <w:bookmarkEnd w:id="16"/>
          </w:p>
        </w:tc>
      </w:tr>
      <w:tr w:rsidR="00433379" w:rsidRPr="00B9706F" w14:paraId="64C9D56D" w14:textId="77777777" w:rsidTr="006F6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14:paraId="4D9331C5" w14:textId="77777777" w:rsidR="00433379" w:rsidRPr="00B9706F" w:rsidRDefault="00000000" w:rsidP="006F605D">
            <w:pPr>
              <w:pStyle w:val="Descripcin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O,d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  <m:r>
                  <w:rPr>
                    <w:rFonts w:ascii="Cambria Math" w:hAnsi="Cambria Math"/>
                  </w:rPr>
                  <m:t>·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sub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exp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·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4c'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5c,s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22E921FE" w14:textId="77777777" w:rsidR="00433379" w:rsidRPr="00B9706F" w:rsidRDefault="00433379" w:rsidP="006F605D">
            <w:pPr>
              <w:jc w:val="center"/>
              <w:rPr>
                <w:rFonts w:eastAsiaTheme="minorEastAsia"/>
                <w:lang w:val="en-GB"/>
              </w:rPr>
            </w:pPr>
            <w:bookmarkStart w:id="17" w:name="_Ref168398900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19</w:t>
            </w:r>
            <w:r w:rsidRPr="00B9706F">
              <w:fldChar w:fldCharType="end"/>
            </w:r>
            <w:r w:rsidRPr="00B9706F">
              <w:t>)</w:t>
            </w:r>
            <w:bookmarkEnd w:id="17"/>
          </w:p>
        </w:tc>
      </w:tr>
    </w:tbl>
    <w:p w14:paraId="2E0DB3BB" w14:textId="77777777" w:rsidR="00433379" w:rsidRPr="00B9706F" w:rsidRDefault="00433379" w:rsidP="00433379">
      <w:pPr>
        <w:rPr>
          <w:lang w:val="en-GB"/>
        </w:rPr>
      </w:pPr>
      <w:r w:rsidRPr="00B9706F">
        <w:rPr>
          <w:lang w:val="en-GB"/>
        </w:rPr>
        <w:t>This cycle assumes that the energy recovered by the expander after conversion to electric power (Eq.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_Ref92983304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20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) is used to partially drive the </w:t>
      </w:r>
      <w:proofErr w:type="spellStart"/>
      <w:r w:rsidRPr="00B9706F">
        <w:rPr>
          <w:lang w:val="en-GB"/>
        </w:rPr>
        <w:t>eC</w:t>
      </w:r>
      <w:proofErr w:type="spellEnd"/>
      <w:r w:rsidRPr="00B9706F">
        <w:rPr>
          <w:lang w:val="en-GB"/>
        </w:rPr>
        <w:t xml:space="preserve"> device. Since the </w:t>
      </w:r>
      <w:proofErr w:type="spellStart"/>
      <w:r w:rsidRPr="00B9706F">
        <w:rPr>
          <w:lang w:val="en-GB"/>
        </w:rPr>
        <w:t>eC</w:t>
      </w:r>
      <w:proofErr w:type="spellEnd"/>
      <w:r w:rsidRPr="00B9706F">
        <w:rPr>
          <w:lang w:val="en-GB"/>
        </w:rPr>
        <w:t xml:space="preserve"> device requires larger input power to provide the desired subcooling power than provided by the expander, the net electrical input work to this cycle can be evaluated using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_Ref168399173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t xml:space="preserve">(I. </w:t>
      </w:r>
      <w:r w:rsidRPr="00B9706F">
        <w:rPr>
          <w:noProof/>
        </w:rPr>
        <w:t>21</w:t>
      </w:r>
      <w:r w:rsidRPr="00B9706F"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>.</w:t>
      </w:r>
    </w:p>
    <w:tbl>
      <w:tblPr>
        <w:tblStyle w:val="Tablaconcuadrcula"/>
        <w:tblW w:w="0" w:type="auto"/>
        <w:tblInd w:w="-10" w:type="dxa"/>
        <w:tblLook w:val="04A0" w:firstRow="1" w:lastRow="0" w:firstColumn="1" w:lastColumn="0" w:noHBand="0" w:noVBand="1"/>
      </w:tblPr>
      <w:tblGrid>
        <w:gridCol w:w="7344"/>
        <w:gridCol w:w="1150"/>
      </w:tblGrid>
      <w:tr w:rsidR="00433379" w:rsidRPr="00B9706F" w14:paraId="33001D4B" w14:textId="77777777" w:rsidTr="006F605D"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14:paraId="5EB4CD72" w14:textId="77777777" w:rsidR="00433379" w:rsidRPr="00B9706F" w:rsidRDefault="00000000" w:rsidP="006F605D">
            <w:pPr>
              <w:pStyle w:val="Descripcin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exp,c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  <m:r>
                  <w:rPr>
                    <w:rFonts w:ascii="Cambria Math" w:hAnsi="Cambria Math"/>
                  </w:rPr>
                  <m:t>·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4c'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5c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me</m:t>
                    </m:r>
                  </m:sub>
                </m:sSub>
              </m:oMath>
            </m:oMathPara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593A7750" w14:textId="77777777" w:rsidR="00433379" w:rsidRPr="00B9706F" w:rsidRDefault="00433379" w:rsidP="006F605D">
            <w:pPr>
              <w:jc w:val="center"/>
              <w:rPr>
                <w:lang w:val="en-GB"/>
              </w:rPr>
            </w:pPr>
            <w:bookmarkStart w:id="18" w:name="_Ref92983304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20</w:t>
            </w:r>
            <w:r w:rsidRPr="00B9706F">
              <w:fldChar w:fldCharType="end"/>
            </w:r>
            <w:r w:rsidRPr="00B9706F">
              <w:t>)</w:t>
            </w:r>
            <w:bookmarkEnd w:id="18"/>
          </w:p>
        </w:tc>
      </w:tr>
      <w:tr w:rsidR="00433379" w:rsidRPr="00B9706F" w14:paraId="6DDEABEE" w14:textId="77777777" w:rsidTr="006F605D"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14:paraId="267088EF" w14:textId="77777777" w:rsidR="00433379" w:rsidRPr="00B9706F" w:rsidRDefault="00000000" w:rsidP="006F605D">
            <w:pPr>
              <w:pStyle w:val="Descripcin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net,c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eC,c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exp,c</m:t>
                    </m:r>
                  </m:sub>
                </m:sSub>
              </m:oMath>
            </m:oMathPara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64205A0" w14:textId="77777777" w:rsidR="00433379" w:rsidRPr="00B9706F" w:rsidRDefault="00433379" w:rsidP="006F605D">
            <w:pPr>
              <w:jc w:val="center"/>
              <w:rPr>
                <w:rFonts w:eastAsiaTheme="minorEastAsia"/>
                <w:lang w:val="en-GB"/>
              </w:rPr>
            </w:pPr>
            <w:bookmarkStart w:id="19" w:name="_Ref168399173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21</w:t>
            </w:r>
            <w:r w:rsidRPr="00B9706F">
              <w:fldChar w:fldCharType="end"/>
            </w:r>
            <w:r w:rsidRPr="00B9706F">
              <w:t>)</w:t>
            </w:r>
            <w:bookmarkEnd w:id="19"/>
          </w:p>
        </w:tc>
      </w:tr>
    </w:tbl>
    <w:p w14:paraId="1276BD61" w14:textId="77777777" w:rsidR="00433379" w:rsidRPr="00B9706F" w:rsidRDefault="00433379" w:rsidP="00433379">
      <w:pPr>
        <w:rPr>
          <w:lang w:val="en-GB"/>
        </w:rPr>
      </w:pPr>
      <w:r w:rsidRPr="00B9706F">
        <w:rPr>
          <w:lang w:val="en-GB"/>
        </w:rPr>
        <w:t xml:space="preserve">Combining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_Ref168398889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17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 xml:space="preserve"> to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_Ref168399173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rPr>
          <w:lang w:val="en-US"/>
        </w:rPr>
        <w:t xml:space="preserve">(I. </w:t>
      </w:r>
      <w:r w:rsidRPr="00B9706F">
        <w:rPr>
          <w:noProof/>
          <w:lang w:val="en-US"/>
        </w:rPr>
        <w:t>21</w:t>
      </w:r>
      <w:r w:rsidRPr="00B9706F">
        <w:rPr>
          <w:lang w:val="en-US"/>
        </w:rPr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>, the COP of the cycle with expander at the 2</w:t>
      </w:r>
      <w:r w:rsidRPr="00B9706F">
        <w:rPr>
          <w:vertAlign w:val="superscript"/>
          <w:lang w:val="en-GB"/>
        </w:rPr>
        <w:t>nd</w:t>
      </w:r>
      <w:r w:rsidRPr="00B9706F">
        <w:rPr>
          <w:lang w:val="en-GB"/>
        </w:rPr>
        <w:t xml:space="preserve"> expansion stage and </w:t>
      </w:r>
      <w:proofErr w:type="spellStart"/>
      <w:r w:rsidRPr="00B9706F">
        <w:rPr>
          <w:lang w:val="en-GB"/>
        </w:rPr>
        <w:t>elastocaloric</w:t>
      </w:r>
      <w:proofErr w:type="spellEnd"/>
      <w:r w:rsidRPr="00B9706F">
        <w:rPr>
          <w:lang w:val="en-GB"/>
        </w:rPr>
        <w:t xml:space="preserve"> </w:t>
      </w:r>
      <w:proofErr w:type="spellStart"/>
      <w:r w:rsidRPr="00B9706F">
        <w:rPr>
          <w:lang w:val="en-GB"/>
        </w:rPr>
        <w:t>subcooler</w:t>
      </w:r>
      <w:proofErr w:type="spellEnd"/>
      <w:r w:rsidRPr="00B9706F">
        <w:rPr>
          <w:lang w:val="en-GB"/>
        </w:rPr>
        <w:t xml:space="preserve"> can be expressed with Eq. </w:t>
      </w:r>
      <w:r w:rsidRPr="00B9706F">
        <w:rPr>
          <w:lang w:val="en-GB"/>
        </w:rPr>
        <w:fldChar w:fldCharType="begin"/>
      </w:r>
      <w:r w:rsidRPr="00B9706F">
        <w:rPr>
          <w:lang w:val="en-GB"/>
        </w:rPr>
        <w:instrText xml:space="preserve"> REF _Ref168399187 \h  \* MERGEFORMAT </w:instrText>
      </w:r>
      <w:r w:rsidRPr="00B9706F">
        <w:rPr>
          <w:lang w:val="en-GB"/>
        </w:rPr>
      </w:r>
      <w:r w:rsidRPr="00B9706F">
        <w:rPr>
          <w:lang w:val="en-GB"/>
        </w:rPr>
        <w:fldChar w:fldCharType="separate"/>
      </w:r>
      <w:r w:rsidRPr="00B9706F">
        <w:t xml:space="preserve">(I. </w:t>
      </w:r>
      <w:r w:rsidRPr="00B9706F">
        <w:rPr>
          <w:noProof/>
        </w:rPr>
        <w:t>22</w:t>
      </w:r>
      <w:r w:rsidRPr="00B9706F">
        <w:t>)</w:t>
      </w:r>
      <w:r w:rsidRPr="00B9706F">
        <w:rPr>
          <w:lang w:val="en-GB"/>
        </w:rPr>
        <w:fldChar w:fldCharType="end"/>
      </w:r>
      <w:r w:rsidRPr="00B9706F">
        <w:rPr>
          <w:lang w:val="en-GB"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344"/>
        <w:gridCol w:w="1150"/>
      </w:tblGrid>
      <w:tr w:rsidR="00433379" w:rsidRPr="00B9706F" w14:paraId="008D04B6" w14:textId="77777777" w:rsidTr="006F605D"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14:paraId="704BE5B6" w14:textId="77777777" w:rsidR="00433379" w:rsidRPr="00B9706F" w:rsidRDefault="00000000" w:rsidP="006F605D">
            <w:pPr>
              <w:pStyle w:val="Descripcin"/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</w:rPr>
                          <m:t>O,c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net,c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sub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exp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·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4c'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5c,s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sub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COP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eC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5c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·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me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2AB86F27" w14:textId="77777777" w:rsidR="00433379" w:rsidRPr="00B9706F" w:rsidRDefault="00433379" w:rsidP="006F605D">
            <w:pPr>
              <w:jc w:val="center"/>
              <w:rPr>
                <w:rFonts w:eastAsiaTheme="minorEastAsia"/>
                <w:lang w:val="en-GB"/>
              </w:rPr>
            </w:pPr>
            <w:bookmarkStart w:id="20" w:name="_Ref168399187"/>
            <w:r w:rsidRPr="00B9706F">
              <w:t xml:space="preserve">(I. </w:t>
            </w:r>
            <w:r w:rsidRPr="00B9706F">
              <w:fldChar w:fldCharType="begin"/>
            </w:r>
            <w:r w:rsidRPr="00B9706F">
              <w:instrText xml:space="preserve"> SEQ (I. \* ARABIC </w:instrText>
            </w:r>
            <w:r w:rsidRPr="00B9706F">
              <w:fldChar w:fldCharType="separate"/>
            </w:r>
            <w:r w:rsidRPr="00B9706F">
              <w:rPr>
                <w:noProof/>
              </w:rPr>
              <w:t>22</w:t>
            </w:r>
            <w:r w:rsidRPr="00B9706F">
              <w:fldChar w:fldCharType="end"/>
            </w:r>
            <w:r w:rsidRPr="00B9706F">
              <w:t>)</w:t>
            </w:r>
            <w:bookmarkEnd w:id="20"/>
          </w:p>
        </w:tc>
      </w:tr>
    </w:tbl>
    <w:p w14:paraId="3CFA6FEB" w14:textId="77777777" w:rsidR="00433379" w:rsidRPr="00B9706F" w:rsidRDefault="00433379" w:rsidP="00433379"/>
    <w:p w14:paraId="6EA44DE1" w14:textId="77777777" w:rsidR="00433379" w:rsidRPr="00B9706F" w:rsidRDefault="00433379" w:rsidP="00433379">
      <w:pPr>
        <w:pStyle w:val="EndNoteBibliography"/>
        <w:spacing w:after="0"/>
      </w:pPr>
      <w:r w:rsidRPr="00B9706F">
        <w:rPr>
          <w:lang w:val="es-ES"/>
        </w:rPr>
        <w:t xml:space="preserve">[1] L. Nebot-Andrés, D. Calleja-Anta, D. Sánchez, R. Cabello, R. Llopis. </w:t>
      </w:r>
      <w:r w:rsidRPr="00B9706F">
        <w:t>Thermodynamic analysis of a CO2 refrigeration cycle with integrated mechanical subcooling. Energies. 13 (2019).</w:t>
      </w:r>
    </w:p>
    <w:p w14:paraId="304CAF4B" w14:textId="77777777" w:rsidR="00433379" w:rsidRPr="00B9706F" w:rsidRDefault="00433379" w:rsidP="00433379">
      <w:pPr>
        <w:rPr>
          <w:lang w:val="en-US"/>
        </w:rPr>
      </w:pPr>
      <w:r w:rsidRPr="00B9706F">
        <w:rPr>
          <w:lang w:val="en-US"/>
        </w:rPr>
        <w:lastRenderedPageBreak/>
        <w:t xml:space="preserve">[2] L. Nebot-Andrés, D. Sánchez, D. Calleja-Anta, R. Cabello, R. Llopis, Experimental determination of the optimum working conditions of a commercial </w:t>
      </w:r>
      <w:proofErr w:type="spellStart"/>
      <w:r w:rsidRPr="00B9706F">
        <w:rPr>
          <w:lang w:val="en-US"/>
        </w:rPr>
        <w:t>transcritical</w:t>
      </w:r>
      <w:proofErr w:type="spellEnd"/>
      <w:r w:rsidRPr="00B9706F">
        <w:rPr>
          <w:lang w:val="en-US"/>
        </w:rPr>
        <w:t xml:space="preserve"> CO2 refrigeration plant with a R-152a dedicated mechanical subcooling, International Journal of Refrigeration, 121 (2021) 258-268.</w:t>
      </w:r>
    </w:p>
    <w:p w14:paraId="08EDA225" w14:textId="77777777" w:rsidR="00433379" w:rsidRPr="00B9706F" w:rsidRDefault="00433379" w:rsidP="00433379">
      <w:pPr>
        <w:rPr>
          <w:lang w:val="en-US"/>
        </w:rPr>
      </w:pPr>
      <w:r w:rsidRPr="00B9706F">
        <w:rPr>
          <w:lang w:val="en-US"/>
        </w:rPr>
        <w:t xml:space="preserve">[3] L. Nebot-Andrés, J. Catalán-Gil, D. Sánchez, D. Calleja-Anta, R. Cabello, R. Llopis, Experimental determination of the optimum working conditions of a </w:t>
      </w:r>
      <w:proofErr w:type="spellStart"/>
      <w:r w:rsidRPr="00B9706F">
        <w:rPr>
          <w:lang w:val="en-US"/>
        </w:rPr>
        <w:t>transcritical</w:t>
      </w:r>
      <w:proofErr w:type="spellEnd"/>
      <w:r w:rsidRPr="00B9706F">
        <w:rPr>
          <w:lang w:val="en-US"/>
        </w:rPr>
        <w:t xml:space="preserve"> CO2 refrigeration plant with integrated mechanical subcooling, International Journal of Refrigeration, 113 (2020) 266-275.</w:t>
      </w:r>
    </w:p>
    <w:p w14:paraId="1F722D60" w14:textId="77777777" w:rsidR="00433379" w:rsidRPr="00B9706F" w:rsidRDefault="00433379" w:rsidP="00433379">
      <w:pPr>
        <w:pStyle w:val="EndNoteBibliography"/>
        <w:spacing w:after="0"/>
      </w:pPr>
      <w:r w:rsidRPr="00B9706F">
        <w:t>[4] N. Purohit, V. Sharma, S. Sawalha, B. Fricke, R. Llopis, M.S. Dasgupta, Integrated supermarket refrigeration for very high ambient temperature, Energy, 165 (2018) 572-590.</w:t>
      </w:r>
    </w:p>
    <w:p w14:paraId="7A437DBC" w14:textId="77777777" w:rsidR="00000000" w:rsidRPr="009C7006" w:rsidRDefault="00000000">
      <w:pPr>
        <w:rPr>
          <w:lang w:val="en-GB"/>
        </w:rPr>
      </w:pPr>
    </w:p>
    <w:sectPr w:rsidR="005857F4" w:rsidRPr="009C7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79"/>
    <w:rsid w:val="00073DC1"/>
    <w:rsid w:val="0028211A"/>
    <w:rsid w:val="00433379"/>
    <w:rsid w:val="005D691F"/>
    <w:rsid w:val="00944DBF"/>
    <w:rsid w:val="009C7006"/>
    <w:rsid w:val="00E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9F07"/>
  <w15:chartTrackingRefBased/>
  <w15:docId w15:val="{F98E5836-06B2-4D15-A069-FF1D4B43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79"/>
    <w:pPr>
      <w:spacing w:before="120" w:after="120" w:line="240" w:lineRule="auto"/>
      <w:jc w:val="both"/>
    </w:pPr>
    <w:rPr>
      <w:rFonts w:ascii="Arial Nova Cond Light" w:hAnsi="Arial Nova Cond Ligh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33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3379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customStyle="1" w:styleId="EndNoteBibliography">
    <w:name w:val="EndNote Bibliography"/>
    <w:basedOn w:val="Normal"/>
    <w:link w:val="EndNoteBibliographyCar"/>
    <w:rsid w:val="00433379"/>
    <w:rPr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433379"/>
    <w:rPr>
      <w:rFonts w:ascii="Arial Nova Cond Light" w:hAnsi="Arial Nova Cond Light"/>
      <w:noProof/>
    </w:rPr>
  </w:style>
  <w:style w:type="paragraph" w:styleId="Descripcin">
    <w:name w:val="caption"/>
    <w:aliases w:val="Pie Figura"/>
    <w:basedOn w:val="Normal"/>
    <w:next w:val="Normal"/>
    <w:link w:val="DescripcinCar"/>
    <w:uiPriority w:val="35"/>
    <w:unhideWhenUsed/>
    <w:qFormat/>
    <w:rsid w:val="00433379"/>
    <w:pPr>
      <w:spacing w:before="0" w:after="200"/>
      <w:jc w:val="center"/>
    </w:pPr>
    <w:rPr>
      <w:rFonts w:ascii="Arial Narrow" w:hAnsi="Arial Narrow"/>
      <w:i/>
      <w:iCs/>
      <w:sz w:val="18"/>
      <w:szCs w:val="18"/>
      <w:lang w:val="en-GB"/>
    </w:rPr>
  </w:style>
  <w:style w:type="table" w:styleId="Tablaconcuadrcula">
    <w:name w:val="Table Grid"/>
    <w:basedOn w:val="Tablanormal"/>
    <w:uiPriority w:val="39"/>
    <w:rsid w:val="0043337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cinCar">
    <w:name w:val="Descripción Car"/>
    <w:aliases w:val="Pie Figura Car"/>
    <w:basedOn w:val="Fuentedeprrafopredeter"/>
    <w:link w:val="Descripcin"/>
    <w:uiPriority w:val="35"/>
    <w:rsid w:val="00433379"/>
    <w:rPr>
      <w:rFonts w:ascii="Arial Narrow" w:hAnsi="Arial Narrow"/>
      <w:i/>
      <w:i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Hemalatha Elangovan</dc:creator>
  <cp:keywords/>
  <dc:description/>
  <cp:lastModifiedBy>usuario</cp:lastModifiedBy>
  <cp:revision>2</cp:revision>
  <dcterms:created xsi:type="dcterms:W3CDTF">2024-07-19T06:19:00Z</dcterms:created>
  <dcterms:modified xsi:type="dcterms:W3CDTF">2024-07-19T06:19:00Z</dcterms:modified>
</cp:coreProperties>
</file>