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97F2A" w14:textId="77777777" w:rsidR="00FE5F65" w:rsidRPr="00974B41" w:rsidRDefault="00617248">
      <w:pPr>
        <w:pStyle w:val="Ttulo"/>
        <w:rPr>
          <w:sz w:val="100"/>
          <w:szCs w:val="100"/>
          <w:lang w:val="es-ES"/>
        </w:rPr>
      </w:pPr>
      <w:r w:rsidRPr="00974B41">
        <w:rPr>
          <w:sz w:val="100"/>
          <w:szCs w:val="100"/>
          <w:lang w:val="es-ES"/>
        </w:rPr>
        <w:t>Módulo 3: Mejores prácticas de organizaciones que caminan hacia la sostenibilidad</w:t>
      </w:r>
      <w:r w:rsidRPr="00974B41">
        <w:rPr>
          <w:lang w:val="es-ES"/>
        </w:rPr>
        <mc:AlternateContent>
          <mc:Choice Requires="wps">
            <w:drawing>
              <wp:anchor distT="0" distB="0" distL="0" distR="0" simplePos="0" relativeHeight="251658240" behindDoc="1" locked="0" layoutInCell="1" hidden="0" allowOverlap="1" wp14:anchorId="7DCC6DE4" wp14:editId="26A0C1DC">
                <wp:simplePos x="0" y="0"/>
                <wp:positionH relativeFrom="column">
                  <wp:posOffset>-939799</wp:posOffset>
                </wp:positionH>
                <wp:positionV relativeFrom="paragraph">
                  <wp:posOffset>-914399</wp:posOffset>
                </wp:positionV>
                <wp:extent cx="7934325" cy="13127905"/>
                <wp:effectExtent l="0" t="0" r="0" b="0"/>
                <wp:wrapNone/>
                <wp:docPr id="33" name=""/>
                <wp:cNvGraphicFramePr/>
                <a:graphic xmlns:a="http://schemas.openxmlformats.org/drawingml/2006/main">
                  <a:graphicData uri="http://schemas.microsoft.com/office/word/2010/wordprocessingShape">
                    <wps:wsp>
                      <wps:cNvSpPr/>
                      <wps:spPr>
                        <a:xfrm>
                          <a:off x="1385188" y="0"/>
                          <a:ext cx="7921625" cy="7560000"/>
                        </a:xfrm>
                        <a:prstGeom prst="rect">
                          <a:avLst/>
                        </a:prstGeom>
                        <a:solidFill>
                          <a:srgbClr val="003864"/>
                        </a:solidFill>
                        <a:ln w="12700" cap="flat" cmpd="sng">
                          <a:solidFill>
                            <a:srgbClr val="31538F"/>
                          </a:solidFill>
                          <a:prstDash val="solid"/>
                          <a:miter lim="800000"/>
                          <a:headEnd type="none" w="sm" len="sm"/>
                          <a:tailEnd type="none" w="sm" len="sm"/>
                        </a:ln>
                      </wps:spPr>
                      <wps:txbx>
                        <w:txbxContent>
                          <w:p w14:paraId="4F15A6A0" w14:textId="77777777" w:rsidR="00FE5F65" w:rsidRDefault="00FE5F65">
                            <w:pPr>
                              <w:textDirection w:val="btLr"/>
                            </w:pPr>
                          </w:p>
                        </w:txbxContent>
                      </wps:txbx>
                      <wps:bodyPr spcFirstLastPara="1" wrap="square" lIns="91425" tIns="45700" rIns="91425" bIns="45700" anchor="ctr" anchorCtr="0">
                        <a:noAutofit/>
                      </wps:bodyPr>
                    </wps:wsp>
                  </a:graphicData>
                </a:graphic>
              </wp:anchor>
            </w:drawing>
          </mc:Choice>
          <mc:Fallback>
            <w:pict>
              <v:rect w14:anchorId="7DCC6DE4" id="_x0000_s1026" style="position:absolute;margin-left:-74pt;margin-top:-1in;width:624.75pt;height:1033.7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" fillcolor="#003864" strokecolor="#31538f" strokeweight="1pt">
                <v:stroke startarrowwidth="narrow" startarrowlength="short" endarrowwidth="narrow" endarrowlength="short"/>
                <v:textbox inset="2.53958mm,1.2694mm,2.53958mm,1.2694mm">
                  <w:txbxContent>
                    <w:p w14:paraId="4F15A6A0" w14:textId="77777777" w:rsidR="00FE5F65" w:rsidRDefault="00FE5F65">
                      <w:pPr>
                        <w:textDirection w:val="btLr"/>
                      </w:pPr>
                    </w:p>
                  </w:txbxContent>
                </v:textbox>
              </v:rect>
            </w:pict>
          </mc:Fallback>
        </mc:AlternateContent>
      </w:r>
    </w:p>
    <w:p w14:paraId="12E02BB4" w14:textId="77777777" w:rsidR="00FE5F65" w:rsidRPr="00974B41" w:rsidRDefault="00617248">
      <w:pPr>
        <w:spacing w:line="240" w:lineRule="auto"/>
        <w:rPr>
          <w:color w:val="FFFFFF"/>
          <w:sz w:val="36"/>
          <w:szCs w:val="36"/>
          <w:lang w:val="es-ES"/>
        </w:rPr>
      </w:pPr>
      <w:r w:rsidRPr="00974B41">
        <w:rPr>
          <w:color w:val="FFFFFF"/>
          <w:sz w:val="36"/>
          <w:szCs w:val="36"/>
          <w:lang w:val="es-ES"/>
        </w:rPr>
        <w:t>Autora: María Paola Ruiz Bernardo</w:t>
      </w:r>
    </w:p>
    <w:p w14:paraId="3CF949C5" w14:textId="77777777" w:rsidR="00FE5F65" w:rsidRPr="00974B41" w:rsidRDefault="00617248">
      <w:pPr>
        <w:spacing w:line="240" w:lineRule="auto"/>
        <w:rPr>
          <w:color w:val="FFFFFF"/>
          <w:sz w:val="36"/>
          <w:szCs w:val="36"/>
          <w:lang w:val="es-ES"/>
        </w:rPr>
      </w:pPr>
      <w:r w:rsidRPr="00974B41">
        <w:rPr>
          <w:color w:val="FFFFFF"/>
          <w:sz w:val="36"/>
          <w:szCs w:val="36"/>
          <w:lang w:val="es-ES"/>
        </w:rPr>
        <w:t>Junio 2023</w:t>
      </w:r>
    </w:p>
    <w:p w14:paraId="428FE471" w14:textId="77777777" w:rsidR="00FE5F65" w:rsidRPr="00974B41" w:rsidRDefault="00617248">
      <w:pPr>
        <w:rPr>
          <w:color w:val="FFFFFF"/>
          <w:sz w:val="48"/>
          <w:szCs w:val="48"/>
          <w:lang w:val="es-ES"/>
        </w:rPr>
        <w:sectPr w:rsidR="00FE5F65" w:rsidRPr="00974B41">
          <w:footerReference w:type="default" r:id="rId8"/>
          <w:footerReference w:type="first" r:id="rId9"/>
          <w:pgSz w:w="11906" w:h="16838"/>
          <w:pgMar w:top="1418" w:right="1418" w:bottom="1418" w:left="1418" w:header="709" w:footer="709" w:gutter="0"/>
          <w:pgNumType w:start="0"/>
          <w:cols w:space="708"/>
          <w:titlePg/>
        </w:sectPr>
      </w:pPr>
      <w:r w:rsidRPr="00974B41">
        <w:rPr>
          <w:noProof/>
          <w:lang w:val="es-ES"/>
        </w:rPr>
        <mc:AlternateContent>
          <mc:Choice Requires="wps">
            <w:drawing>
              <wp:anchor distT="0" distB="0" distL="114300" distR="114300" simplePos="0" relativeHeight="251659264" behindDoc="0" locked="0" layoutInCell="1" hidden="0" allowOverlap="1" wp14:anchorId="0039DC7C" wp14:editId="46CC2011">
                <wp:simplePos x="0" y="0"/>
                <wp:positionH relativeFrom="column">
                  <wp:posOffset>4483100</wp:posOffset>
                </wp:positionH>
                <wp:positionV relativeFrom="paragraph">
                  <wp:posOffset>4660900</wp:posOffset>
                </wp:positionV>
                <wp:extent cx="1360170" cy="381000"/>
                <wp:effectExtent l="0" t="0" r="0" b="0"/>
                <wp:wrapSquare wrapText="bothSides" distT="0" distB="0" distL="114300" distR="114300"/>
                <wp:docPr id="31" name=""/>
                <wp:cNvGraphicFramePr/>
                <a:graphic xmlns:a="http://schemas.openxmlformats.org/drawingml/2006/main">
                  <a:graphicData uri="http://schemas.microsoft.com/office/word/2010/wordprocessingShape">
                    <wps:wsp>
                      <wps:cNvSpPr/>
                      <wps:spPr>
                        <a:xfrm>
                          <a:off x="4670678" y="3594263"/>
                          <a:ext cx="1350645" cy="371475"/>
                        </a:xfrm>
                        <a:prstGeom prst="rect">
                          <a:avLst/>
                        </a:prstGeom>
                        <a:noFill/>
                        <a:ln>
                          <a:noFill/>
                        </a:ln>
                      </wps:spPr>
                      <wps:txbx>
                        <w:txbxContent>
                          <w:p w14:paraId="5CDF0D7D" w14:textId="77777777" w:rsidR="00FE5F65" w:rsidRDefault="00617248">
                            <w:pPr>
                              <w:spacing w:line="240" w:lineRule="auto"/>
                              <w:jc w:val="right"/>
                              <w:textDirection w:val="btLr"/>
                            </w:pPr>
                            <w:r>
                              <w:rPr>
                                <w:b/>
                                <w:color w:val="FFFFFF"/>
                              </w:rPr>
                              <w:t>#</w:t>
                            </w:r>
                            <w:proofErr w:type="spellStart"/>
                            <w:r>
                              <w:rPr>
                                <w:b/>
                                <w:color w:val="FFFFFF"/>
                              </w:rPr>
                              <w:t>ProDigital</w:t>
                            </w:r>
                            <w:proofErr w:type="spellEnd"/>
                          </w:p>
                          <w:p w14:paraId="74154AA6" w14:textId="77777777" w:rsidR="00FE5F65" w:rsidRDefault="00FE5F65">
                            <w:pPr>
                              <w:spacing w:line="240" w:lineRule="auto"/>
                              <w:jc w:val="right"/>
                              <w:textDirection w:val="btLr"/>
                            </w:pPr>
                          </w:p>
                          <w:p w14:paraId="6FDDC520" w14:textId="77777777" w:rsidR="00FE5F65" w:rsidRDefault="00FE5F65">
                            <w:pPr>
                              <w:spacing w:line="240" w:lineRule="auto"/>
                              <w:jc w:val="right"/>
                              <w:textDirection w:val="btLr"/>
                            </w:pPr>
                          </w:p>
                          <w:p w14:paraId="29E06286" w14:textId="77777777" w:rsidR="00FE5F65" w:rsidRDefault="00FE5F65">
                            <w:pPr>
                              <w:spacing w:line="240" w:lineRule="auto"/>
                              <w:jc w:val="right"/>
                              <w:textDirection w:val="btLr"/>
                            </w:pPr>
                          </w:p>
                          <w:p w14:paraId="203078F0" w14:textId="77777777" w:rsidR="00FE5F65" w:rsidRDefault="00FE5F65">
                            <w:pPr>
                              <w:spacing w:line="240" w:lineRule="auto"/>
                              <w:jc w:val="right"/>
                              <w:textDirection w:val="btLr"/>
                            </w:pPr>
                          </w:p>
                          <w:p w14:paraId="7E9C42E2" w14:textId="77777777" w:rsidR="00FE5F65" w:rsidRDefault="00FE5F65">
                            <w:pPr>
                              <w:spacing w:line="240" w:lineRule="auto"/>
                              <w:jc w:val="right"/>
                              <w:textDirection w:val="btLr"/>
                            </w:pPr>
                          </w:p>
                          <w:p w14:paraId="4BBEE50B" w14:textId="77777777" w:rsidR="00FE5F65" w:rsidRDefault="00FE5F65">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0039DC7C" id="_x0000_s1027" style="position:absolute;margin-left:353pt;margin-top:367pt;width:107.1pt;height:3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" filled="f" stroked="f">
                <v:textbox inset="2.53958mm,1.2694mm,2.53958mm,1.2694mm">
                  <w:txbxContent>
                    <w:p w14:paraId="5CDF0D7D" w14:textId="77777777" w:rsidR="00FE5F65" w:rsidRDefault="00617248">
                      <w:pPr>
                        <w:spacing w:line="240" w:lineRule="auto"/>
                        <w:jc w:val="right"/>
                        <w:textDirection w:val="btLr"/>
                      </w:pPr>
                      <w:r>
                        <w:rPr>
                          <w:b/>
                          <w:color w:val="FFFFFF"/>
                        </w:rPr>
                        <w:t>#</w:t>
                      </w:r>
                      <w:proofErr w:type="spellStart"/>
                      <w:r>
                        <w:rPr>
                          <w:b/>
                          <w:color w:val="FFFFFF"/>
                        </w:rPr>
                        <w:t>ProDigital</w:t>
                      </w:r>
                      <w:proofErr w:type="spellEnd"/>
                    </w:p>
                    <w:p w14:paraId="74154AA6" w14:textId="77777777" w:rsidR="00FE5F65" w:rsidRDefault="00FE5F65">
                      <w:pPr>
                        <w:spacing w:line="240" w:lineRule="auto"/>
                        <w:jc w:val="right"/>
                        <w:textDirection w:val="btLr"/>
                      </w:pPr>
                    </w:p>
                    <w:p w14:paraId="6FDDC520" w14:textId="77777777" w:rsidR="00FE5F65" w:rsidRDefault="00FE5F65">
                      <w:pPr>
                        <w:spacing w:line="240" w:lineRule="auto"/>
                        <w:jc w:val="right"/>
                        <w:textDirection w:val="btLr"/>
                      </w:pPr>
                    </w:p>
                    <w:p w14:paraId="29E06286" w14:textId="77777777" w:rsidR="00FE5F65" w:rsidRDefault="00FE5F65">
                      <w:pPr>
                        <w:spacing w:line="240" w:lineRule="auto"/>
                        <w:jc w:val="right"/>
                        <w:textDirection w:val="btLr"/>
                      </w:pPr>
                    </w:p>
                    <w:p w14:paraId="203078F0" w14:textId="77777777" w:rsidR="00FE5F65" w:rsidRDefault="00FE5F65">
                      <w:pPr>
                        <w:spacing w:line="240" w:lineRule="auto"/>
                        <w:jc w:val="right"/>
                        <w:textDirection w:val="btLr"/>
                      </w:pPr>
                    </w:p>
                    <w:p w14:paraId="7E9C42E2" w14:textId="77777777" w:rsidR="00FE5F65" w:rsidRDefault="00FE5F65">
                      <w:pPr>
                        <w:spacing w:line="240" w:lineRule="auto"/>
                        <w:jc w:val="right"/>
                        <w:textDirection w:val="btLr"/>
                      </w:pPr>
                    </w:p>
                    <w:p w14:paraId="4BBEE50B" w14:textId="77777777" w:rsidR="00FE5F65" w:rsidRDefault="00FE5F65">
                      <w:pPr>
                        <w:spacing w:line="240" w:lineRule="auto"/>
                        <w:jc w:val="right"/>
                        <w:textDirection w:val="btLr"/>
                      </w:pPr>
                    </w:p>
                  </w:txbxContent>
                </v:textbox>
                <w10:wrap type="square"/>
              </v:rect>
            </w:pict>
          </mc:Fallback>
        </mc:AlternateContent>
      </w:r>
      <w:r w:rsidRPr="00974B41">
        <w:rPr>
          <w:noProof/>
          <w:lang w:val="es-ES"/>
        </w:rPr>
        <w:drawing>
          <wp:anchor distT="0" distB="0" distL="114300" distR="114300" simplePos="0" relativeHeight="251660288" behindDoc="0" locked="0" layoutInCell="1" hidden="0" allowOverlap="1" wp14:anchorId="1FF70DA9" wp14:editId="63D3DA51">
            <wp:simplePos x="0" y="0"/>
            <wp:positionH relativeFrom="column">
              <wp:posOffset>1</wp:posOffset>
            </wp:positionH>
            <wp:positionV relativeFrom="paragraph">
              <wp:posOffset>4647565</wp:posOffset>
            </wp:positionV>
            <wp:extent cx="1894205" cy="396240"/>
            <wp:effectExtent l="0" t="0" r="0" b="0"/>
            <wp:wrapSquare wrapText="bothSides" distT="0" distB="0" distL="114300" distR="11430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94205" cy="396240"/>
                    </a:xfrm>
                    <a:prstGeom prst="rect">
                      <a:avLst/>
                    </a:prstGeom>
                    <a:ln/>
                  </pic:spPr>
                </pic:pic>
              </a:graphicData>
            </a:graphic>
          </wp:anchor>
        </w:drawing>
      </w:r>
    </w:p>
    <w:p w14:paraId="253BAB5A" w14:textId="77777777" w:rsidR="00FE5F65" w:rsidRPr="00974B41" w:rsidRDefault="00617248">
      <w:pPr>
        <w:rPr>
          <w:lang w:val="es-ES"/>
        </w:rPr>
        <w:sectPr w:rsidR="00FE5F65" w:rsidRPr="00974B41">
          <w:footerReference w:type="first" r:id="rId11"/>
          <w:pgSz w:w="11906" w:h="16838"/>
          <w:pgMar w:top="1440" w:right="1077" w:bottom="1440" w:left="1077" w:header="709" w:footer="709" w:gutter="0"/>
          <w:pgNumType w:start="0"/>
          <w:cols w:space="708"/>
          <w:titlePg/>
        </w:sectPr>
      </w:pPr>
      <w:r w:rsidRPr="00974B41">
        <w:rPr>
          <w:noProof/>
          <w:lang w:val="es-ES"/>
        </w:rPr>
        <w:lastRenderedPageBreak/>
        <w:drawing>
          <wp:anchor distT="0" distB="0" distL="114300" distR="114300" simplePos="0" relativeHeight="251661312" behindDoc="0" locked="0" layoutInCell="1" hidden="0" allowOverlap="1" wp14:anchorId="516B5208" wp14:editId="1D36D95F">
            <wp:simplePos x="0" y="0"/>
            <wp:positionH relativeFrom="margin">
              <wp:align>left</wp:align>
            </wp:positionH>
            <wp:positionV relativeFrom="margin">
              <wp:align>bottom</wp:align>
            </wp:positionV>
            <wp:extent cx="1144800" cy="399600"/>
            <wp:effectExtent l="0" t="0" r="0" b="0"/>
            <wp:wrapSquare wrapText="bothSides" distT="0" distB="0" distL="114300" distR="11430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144800" cy="399600"/>
                    </a:xfrm>
                    <a:prstGeom prst="rect">
                      <a:avLst/>
                    </a:prstGeom>
                    <a:ln/>
                  </pic:spPr>
                </pic:pic>
              </a:graphicData>
            </a:graphic>
          </wp:anchor>
        </w:drawing>
      </w:r>
      <w:r w:rsidRPr="00974B41">
        <w:rPr>
          <w:noProof/>
          <w:lang w:val="es-ES"/>
        </w:rPr>
        <mc:AlternateContent>
          <mc:Choice Requires="wps">
            <w:drawing>
              <wp:anchor distT="0" distB="0" distL="114300" distR="114300" simplePos="0" relativeHeight="251662336" behindDoc="0" locked="0" layoutInCell="1" hidden="0" allowOverlap="1" wp14:anchorId="5C3DCA88" wp14:editId="498FA603">
                <wp:simplePos x="0" y="0"/>
                <wp:positionH relativeFrom="column">
                  <wp:posOffset>1</wp:posOffset>
                </wp:positionH>
                <wp:positionV relativeFrom="paragraph">
                  <wp:posOffset>7493000</wp:posOffset>
                </wp:positionV>
                <wp:extent cx="6202096" cy="969193"/>
                <wp:effectExtent l="0" t="0" r="0" b="0"/>
                <wp:wrapNone/>
                <wp:docPr id="30" name=""/>
                <wp:cNvGraphicFramePr/>
                <a:graphic xmlns:a="http://schemas.openxmlformats.org/drawingml/2006/main">
                  <a:graphicData uri="http://schemas.microsoft.com/office/word/2010/wordprocessingShape">
                    <wps:wsp>
                      <wps:cNvSpPr/>
                      <wps:spPr>
                        <a:xfrm>
                          <a:off x="2249715" y="3300166"/>
                          <a:ext cx="6192571" cy="959668"/>
                        </a:xfrm>
                        <a:prstGeom prst="rect">
                          <a:avLst/>
                        </a:prstGeom>
                        <a:noFill/>
                        <a:ln>
                          <a:noFill/>
                        </a:ln>
                      </wps:spPr>
                      <wps:txbx>
                        <w:txbxContent>
                          <w:p w14:paraId="57552966" w14:textId="77777777" w:rsidR="00FE5F65" w:rsidRDefault="00617248">
                            <w:pPr>
                              <w:textDirection w:val="btLr"/>
                            </w:pPr>
                            <w:r>
                              <w:t xml:space="preserve">Aquest document s'ha creat en el marc del projecte </w:t>
                            </w:r>
                            <w:proofErr w:type="spellStart"/>
                            <w:r>
                              <w:rPr>
                                <w:b/>
                                <w:color w:val="003864"/>
                                <w:u w:val="single"/>
                              </w:rPr>
                              <w:t>ProDigital</w:t>
                            </w:r>
                            <w:proofErr w:type="spellEnd"/>
                            <w:r>
                              <w:t xml:space="preserve"> i es publica amb una llicència </w:t>
                            </w:r>
                            <w:r>
                              <w:rPr>
                                <w:b/>
                                <w:color w:val="003864"/>
                                <w:u w:val="single"/>
                              </w:rPr>
                              <w:t>Reconeixement-</w:t>
                            </w:r>
                            <w:proofErr w:type="spellStart"/>
                            <w:r>
                              <w:rPr>
                                <w:b/>
                                <w:color w:val="003864"/>
                                <w:u w:val="single"/>
                              </w:rPr>
                              <w:t>NoComercial</w:t>
                            </w:r>
                            <w:proofErr w:type="spellEnd"/>
                            <w:r>
                              <w:rPr>
                                <w:b/>
                                <w:color w:val="003864"/>
                                <w:u w:val="single"/>
                              </w:rPr>
                              <w:t>-</w:t>
                            </w:r>
                            <w:proofErr w:type="spellStart"/>
                            <w:r>
                              <w:rPr>
                                <w:b/>
                                <w:color w:val="003864"/>
                                <w:u w:val="single"/>
                              </w:rPr>
                              <w:t>CompartirIgual</w:t>
                            </w:r>
                            <w:proofErr w:type="spellEnd"/>
                            <w:r>
                              <w:rPr>
                                <w:b/>
                                <w:color w:val="003864"/>
                                <w:u w:val="single"/>
                              </w:rPr>
                              <w:t xml:space="preserve"> 4.0 Internacional</w:t>
                            </w:r>
                            <w:r>
                              <w:t xml:space="preserve"> de </w:t>
                            </w:r>
                            <w:proofErr w:type="spellStart"/>
                            <w:r>
                              <w:t>Creative</w:t>
                            </w:r>
                            <w:proofErr w:type="spellEnd"/>
                            <w:r>
                              <w:t xml:space="preserve"> </w:t>
                            </w:r>
                            <w:proofErr w:type="spellStart"/>
                            <w:r>
                              <w:t>Commons</w:t>
                            </w:r>
                            <w:proofErr w:type="spellEnd"/>
                            <w:r>
                              <w:t xml:space="preserve"> (CC BY-NC-SA 4.0).</w:t>
                            </w:r>
                          </w:p>
                        </w:txbxContent>
                      </wps:txbx>
                      <wps:bodyPr spcFirstLastPara="1" wrap="square" lIns="0" tIns="0" rIns="0" bIns="0" anchor="t" anchorCtr="0">
                        <a:noAutofit/>
                      </wps:bodyPr>
                    </wps:wsp>
                  </a:graphicData>
                </a:graphic>
              </wp:anchor>
            </w:drawing>
          </mc:Choice>
          <mc:Fallback>
            <w:pict>
              <v:rect w14:anchorId="5C3DCA88" id="_x0000_s1028" style="position:absolute;margin-left:0;margin-top:590pt;width:488.35pt;height:76.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" filled="f" stroked="f">
                <v:textbox inset="0,0,0,0">
                  <w:txbxContent>
                    <w:p w14:paraId="57552966" w14:textId="77777777" w:rsidR="00FE5F65" w:rsidRDefault="00617248">
                      <w:pPr>
                        <w:textDirection w:val="btLr"/>
                      </w:pPr>
                      <w:r>
                        <w:t xml:space="preserve">Aquest document s'ha creat en el marc del projecte </w:t>
                      </w:r>
                      <w:proofErr w:type="spellStart"/>
                      <w:r>
                        <w:rPr>
                          <w:b/>
                          <w:color w:val="003864"/>
                          <w:u w:val="single"/>
                        </w:rPr>
                        <w:t>ProDigital</w:t>
                      </w:r>
                      <w:proofErr w:type="spellEnd"/>
                      <w:r>
                        <w:t xml:space="preserve"> i es publica amb una llicència </w:t>
                      </w:r>
                      <w:r>
                        <w:rPr>
                          <w:b/>
                          <w:color w:val="003864"/>
                          <w:u w:val="single"/>
                        </w:rPr>
                        <w:t>Reconeixement-</w:t>
                      </w:r>
                      <w:proofErr w:type="spellStart"/>
                      <w:r>
                        <w:rPr>
                          <w:b/>
                          <w:color w:val="003864"/>
                          <w:u w:val="single"/>
                        </w:rPr>
                        <w:t>NoComercial</w:t>
                      </w:r>
                      <w:proofErr w:type="spellEnd"/>
                      <w:r>
                        <w:rPr>
                          <w:b/>
                          <w:color w:val="003864"/>
                          <w:u w:val="single"/>
                        </w:rPr>
                        <w:t>-</w:t>
                      </w:r>
                      <w:proofErr w:type="spellStart"/>
                      <w:r>
                        <w:rPr>
                          <w:b/>
                          <w:color w:val="003864"/>
                          <w:u w:val="single"/>
                        </w:rPr>
                        <w:t>CompartirIgual</w:t>
                      </w:r>
                      <w:proofErr w:type="spellEnd"/>
                      <w:r>
                        <w:rPr>
                          <w:b/>
                          <w:color w:val="003864"/>
                          <w:u w:val="single"/>
                        </w:rPr>
                        <w:t xml:space="preserve"> 4.0 Internacional</w:t>
                      </w:r>
                      <w:r>
                        <w:t xml:space="preserve"> de </w:t>
                      </w:r>
                      <w:proofErr w:type="spellStart"/>
                      <w:r>
                        <w:t>Creative</w:t>
                      </w:r>
                      <w:proofErr w:type="spellEnd"/>
                      <w:r>
                        <w:t xml:space="preserve"> </w:t>
                      </w:r>
                      <w:proofErr w:type="spellStart"/>
                      <w:r>
                        <w:t>Commons</w:t>
                      </w:r>
                      <w:proofErr w:type="spellEnd"/>
                      <w:r>
                        <w:t xml:space="preserve"> (CC BY-NC-SA 4.0).</w:t>
                      </w:r>
                    </w:p>
                  </w:txbxContent>
                </v:textbox>
              </v:rect>
            </w:pict>
          </mc:Fallback>
        </mc:AlternateContent>
      </w:r>
    </w:p>
    <w:p w14:paraId="7D296F89" w14:textId="77777777" w:rsidR="00FE5F65" w:rsidRPr="00974B41" w:rsidRDefault="00617248">
      <w:pPr>
        <w:keepNext/>
        <w:keepLines/>
        <w:pBdr>
          <w:top w:val="nil"/>
          <w:left w:val="nil"/>
          <w:bottom w:val="nil"/>
          <w:right w:val="nil"/>
          <w:between w:val="nil"/>
        </w:pBdr>
        <w:spacing w:before="240" w:after="0" w:line="259" w:lineRule="auto"/>
        <w:rPr>
          <w:rFonts w:ascii="IBM Plex Sans SemiBold" w:eastAsia="IBM Plex Sans SemiBold" w:hAnsi="IBM Plex Sans SemiBold" w:cs="IBM Plex Sans SemiBold"/>
          <w:sz w:val="32"/>
          <w:szCs w:val="32"/>
          <w:lang w:val="es-ES"/>
        </w:rPr>
      </w:pPr>
      <w:r w:rsidRPr="00974B41">
        <w:rPr>
          <w:rFonts w:ascii="IBM Plex Sans SemiBold" w:eastAsia="IBM Plex Sans SemiBold" w:hAnsi="IBM Plex Sans SemiBold" w:cs="IBM Plex Sans SemiBold"/>
          <w:sz w:val="32"/>
          <w:szCs w:val="32"/>
          <w:lang w:val="es-ES"/>
        </w:rPr>
        <w:lastRenderedPageBreak/>
        <w:t>ÍNDEX</w:t>
      </w:r>
    </w:p>
    <w:p w14:paraId="39A8E4CA" w14:textId="77777777" w:rsidR="00FE5F65" w:rsidRPr="00974B41" w:rsidRDefault="00FE5F65">
      <w:pPr>
        <w:rPr>
          <w:lang w:val="es-ES"/>
        </w:rPr>
      </w:pPr>
    </w:p>
    <w:bookmarkStart w:id="0" w:name="_heading=h.gjdgxs" w:colFirst="0" w:colLast="0" w:displacedByCustomXml="next"/>
    <w:bookmarkEnd w:id="0" w:displacedByCustomXml="next"/>
    <w:sdt>
      <w:sdtPr>
        <w:rPr>
          <w:lang w:val="es-ES"/>
        </w:rPr>
        <w:id w:val="1021055089"/>
        <w:docPartObj>
          <w:docPartGallery w:val="Table of Contents"/>
          <w:docPartUnique/>
        </w:docPartObj>
      </w:sdtPr>
      <w:sdtEndPr>
        <w:rPr>
          <w:rFonts w:ascii="IBM Plex Sans Light" w:eastAsia="IBM Plex Sans Light" w:hAnsi="IBM Plex Sans Light" w:cs="IBM Plex Sans Light"/>
          <w:b/>
          <w:bCs/>
          <w:sz w:val="24"/>
          <w:szCs w:val="24"/>
        </w:rPr>
      </w:sdtEndPr>
      <w:sdtContent>
        <w:p w14:paraId="009789D2" w14:textId="56F7E873" w:rsidR="00785F01" w:rsidRDefault="00785F01">
          <w:pPr>
            <w:pStyle w:val="TtuloTDC"/>
          </w:pPr>
        </w:p>
        <w:p w14:paraId="7AFA9185" w14:textId="1BFF1CA5" w:rsidR="00785F01" w:rsidRDefault="00785F01">
          <w:pPr>
            <w:pStyle w:val="TDC1"/>
            <w:rPr>
              <w:rFonts w:asciiTheme="minorHAnsi" w:eastAsiaTheme="minorEastAsia" w:hAnsiTheme="minorHAnsi" w:cstheme="minorBidi"/>
              <w:b w:val="0"/>
              <w:bCs w:val="0"/>
              <w:color w:val="auto"/>
              <w:sz w:val="22"/>
              <w:szCs w:val="22"/>
            </w:rPr>
          </w:pPr>
          <w:r>
            <w:fldChar w:fldCharType="begin"/>
          </w:r>
          <w:r>
            <w:instrText xml:space="preserve"> TOC \o "1-3" \h \z \u </w:instrText>
          </w:r>
          <w:r>
            <w:fldChar w:fldCharType="separate"/>
          </w:r>
          <w:hyperlink w:anchor="_Toc139015860" w:history="1">
            <w:r w:rsidRPr="005E5741">
              <w:rPr>
                <w:rStyle w:val="Hipervnculo"/>
                <w:lang w:val="es-ES"/>
              </w:rPr>
              <w:t>01 Elementos básicos para entender las Buenas Prácticas</w:t>
            </w:r>
            <w:r>
              <w:rPr>
                <w:webHidden/>
              </w:rPr>
              <w:tab/>
            </w:r>
            <w:r>
              <w:rPr>
                <w:webHidden/>
              </w:rPr>
              <w:fldChar w:fldCharType="begin"/>
            </w:r>
            <w:r>
              <w:rPr>
                <w:webHidden/>
              </w:rPr>
              <w:instrText xml:space="preserve"> PAGEREF _Toc139015860 \h </w:instrText>
            </w:r>
            <w:r>
              <w:rPr>
                <w:webHidden/>
              </w:rPr>
            </w:r>
            <w:r>
              <w:rPr>
                <w:webHidden/>
              </w:rPr>
              <w:fldChar w:fldCharType="separate"/>
            </w:r>
            <w:r w:rsidR="001C6D00">
              <w:rPr>
                <w:webHidden/>
              </w:rPr>
              <w:t>1</w:t>
            </w:r>
            <w:r>
              <w:rPr>
                <w:webHidden/>
              </w:rPr>
              <w:fldChar w:fldCharType="end"/>
            </w:r>
          </w:hyperlink>
        </w:p>
        <w:p w14:paraId="79AD9F56" w14:textId="36899F8A" w:rsidR="00785F01" w:rsidRDefault="00785F01">
          <w:pPr>
            <w:pStyle w:val="TDC1"/>
            <w:rPr>
              <w:rFonts w:asciiTheme="minorHAnsi" w:eastAsiaTheme="minorEastAsia" w:hAnsiTheme="minorHAnsi" w:cstheme="minorBidi"/>
              <w:b w:val="0"/>
              <w:bCs w:val="0"/>
              <w:color w:val="auto"/>
              <w:sz w:val="22"/>
              <w:szCs w:val="22"/>
            </w:rPr>
          </w:pPr>
          <w:hyperlink w:anchor="_Toc139015861" w:history="1">
            <w:r w:rsidRPr="005E5741">
              <w:rPr>
                <w:rStyle w:val="Hipervnculo"/>
                <w:lang w:val="es-ES"/>
              </w:rPr>
              <w:t>02 Buenas Prácticas en Red</w:t>
            </w:r>
            <w:r>
              <w:rPr>
                <w:webHidden/>
              </w:rPr>
              <w:tab/>
            </w:r>
            <w:r>
              <w:rPr>
                <w:webHidden/>
              </w:rPr>
              <w:fldChar w:fldCharType="begin"/>
            </w:r>
            <w:r>
              <w:rPr>
                <w:webHidden/>
              </w:rPr>
              <w:instrText xml:space="preserve"> PAGEREF _Toc139015861 \h </w:instrText>
            </w:r>
            <w:r>
              <w:rPr>
                <w:webHidden/>
              </w:rPr>
            </w:r>
            <w:r>
              <w:rPr>
                <w:webHidden/>
              </w:rPr>
              <w:fldChar w:fldCharType="separate"/>
            </w:r>
            <w:r w:rsidR="001C6D00">
              <w:rPr>
                <w:webHidden/>
              </w:rPr>
              <w:t>2</w:t>
            </w:r>
            <w:r>
              <w:rPr>
                <w:webHidden/>
              </w:rPr>
              <w:fldChar w:fldCharType="end"/>
            </w:r>
          </w:hyperlink>
        </w:p>
        <w:p w14:paraId="14C6A88C" w14:textId="7AFE051B" w:rsidR="00785F01" w:rsidRDefault="00785F01">
          <w:pPr>
            <w:pStyle w:val="TDC1"/>
            <w:rPr>
              <w:rFonts w:asciiTheme="minorHAnsi" w:eastAsiaTheme="minorEastAsia" w:hAnsiTheme="minorHAnsi" w:cstheme="minorBidi"/>
              <w:b w:val="0"/>
              <w:bCs w:val="0"/>
              <w:color w:val="auto"/>
              <w:sz w:val="22"/>
              <w:szCs w:val="22"/>
            </w:rPr>
          </w:pPr>
          <w:hyperlink w:anchor="_Toc139015862" w:history="1">
            <w:r w:rsidRPr="005E5741">
              <w:rPr>
                <w:rStyle w:val="Hipervnculo"/>
                <w:lang w:val="es-ES"/>
              </w:rPr>
              <w:t>03 Un ejemplo de una buena práctica en una organización empresaria</w:t>
            </w:r>
            <w:r>
              <w:rPr>
                <w:webHidden/>
              </w:rPr>
              <w:tab/>
            </w:r>
            <w:r>
              <w:rPr>
                <w:webHidden/>
              </w:rPr>
              <w:fldChar w:fldCharType="begin"/>
            </w:r>
            <w:r>
              <w:rPr>
                <w:webHidden/>
              </w:rPr>
              <w:instrText xml:space="preserve"> PAGEREF _Toc139015862 \h </w:instrText>
            </w:r>
            <w:r>
              <w:rPr>
                <w:webHidden/>
              </w:rPr>
            </w:r>
            <w:r>
              <w:rPr>
                <w:webHidden/>
              </w:rPr>
              <w:fldChar w:fldCharType="separate"/>
            </w:r>
            <w:r w:rsidR="001C6D00">
              <w:rPr>
                <w:webHidden/>
              </w:rPr>
              <w:t>8</w:t>
            </w:r>
            <w:r>
              <w:rPr>
                <w:webHidden/>
              </w:rPr>
              <w:fldChar w:fldCharType="end"/>
            </w:r>
          </w:hyperlink>
        </w:p>
        <w:p w14:paraId="243CB18B" w14:textId="4A9A56E8" w:rsidR="00785F01" w:rsidRDefault="00785F01">
          <w:pPr>
            <w:pStyle w:val="TDC1"/>
            <w:rPr>
              <w:rFonts w:asciiTheme="minorHAnsi" w:eastAsiaTheme="minorEastAsia" w:hAnsiTheme="minorHAnsi" w:cstheme="minorBidi"/>
              <w:b w:val="0"/>
              <w:bCs w:val="0"/>
              <w:color w:val="auto"/>
              <w:sz w:val="22"/>
              <w:szCs w:val="22"/>
            </w:rPr>
          </w:pPr>
          <w:hyperlink w:anchor="_Toc139015863" w:history="1">
            <w:r w:rsidRPr="005E5741">
              <w:rPr>
                <w:rStyle w:val="Hipervnculo"/>
                <w:lang w:val="es-ES"/>
              </w:rPr>
              <w:t>Referencias Bibliográficas</w:t>
            </w:r>
            <w:r>
              <w:rPr>
                <w:webHidden/>
              </w:rPr>
              <w:tab/>
            </w:r>
            <w:r>
              <w:rPr>
                <w:webHidden/>
              </w:rPr>
              <w:fldChar w:fldCharType="begin"/>
            </w:r>
            <w:r>
              <w:rPr>
                <w:webHidden/>
              </w:rPr>
              <w:instrText xml:space="preserve"> PAGEREF _Toc139015863 \h </w:instrText>
            </w:r>
            <w:r>
              <w:rPr>
                <w:webHidden/>
              </w:rPr>
            </w:r>
            <w:r>
              <w:rPr>
                <w:webHidden/>
              </w:rPr>
              <w:fldChar w:fldCharType="separate"/>
            </w:r>
            <w:r w:rsidR="001C6D00">
              <w:rPr>
                <w:webHidden/>
              </w:rPr>
              <w:t>11</w:t>
            </w:r>
            <w:r>
              <w:rPr>
                <w:webHidden/>
              </w:rPr>
              <w:fldChar w:fldCharType="end"/>
            </w:r>
          </w:hyperlink>
        </w:p>
        <w:p w14:paraId="4773DB31" w14:textId="3DD34809" w:rsidR="00785F01" w:rsidRDefault="00785F01">
          <w:pPr>
            <w:pStyle w:val="TDC1"/>
            <w:rPr>
              <w:rFonts w:asciiTheme="minorHAnsi" w:eastAsiaTheme="minorEastAsia" w:hAnsiTheme="minorHAnsi" w:cstheme="minorBidi"/>
              <w:b w:val="0"/>
              <w:bCs w:val="0"/>
              <w:color w:val="auto"/>
              <w:sz w:val="22"/>
              <w:szCs w:val="22"/>
            </w:rPr>
          </w:pPr>
          <w:hyperlink w:anchor="_Toc139015864" w:history="1">
            <w:r w:rsidRPr="005E5741">
              <w:rPr>
                <w:rStyle w:val="Hipervnculo"/>
                <w:lang w:val="es-ES"/>
              </w:rPr>
              <w:t>Webgrafía</w:t>
            </w:r>
            <w:r>
              <w:rPr>
                <w:webHidden/>
              </w:rPr>
              <w:tab/>
            </w:r>
            <w:r>
              <w:rPr>
                <w:webHidden/>
              </w:rPr>
              <w:fldChar w:fldCharType="begin"/>
            </w:r>
            <w:r>
              <w:rPr>
                <w:webHidden/>
              </w:rPr>
              <w:instrText xml:space="preserve"> PAGEREF _Toc139015864 \h </w:instrText>
            </w:r>
            <w:r>
              <w:rPr>
                <w:webHidden/>
              </w:rPr>
            </w:r>
            <w:r>
              <w:rPr>
                <w:webHidden/>
              </w:rPr>
              <w:fldChar w:fldCharType="separate"/>
            </w:r>
            <w:r w:rsidR="001C6D00">
              <w:rPr>
                <w:webHidden/>
              </w:rPr>
              <w:t>11</w:t>
            </w:r>
            <w:r>
              <w:rPr>
                <w:webHidden/>
              </w:rPr>
              <w:fldChar w:fldCharType="end"/>
            </w:r>
          </w:hyperlink>
        </w:p>
        <w:p w14:paraId="508EF70F" w14:textId="3487E605" w:rsidR="00785F01" w:rsidRDefault="00785F01">
          <w:r>
            <w:rPr>
              <w:b/>
              <w:bCs/>
              <w:lang w:val="es-ES"/>
            </w:rPr>
            <w:fldChar w:fldCharType="end"/>
          </w:r>
        </w:p>
      </w:sdtContent>
    </w:sdt>
    <w:p w14:paraId="675454E0" w14:textId="77777777" w:rsidR="00FE5F65" w:rsidRPr="00974B41" w:rsidRDefault="00FE5F65">
      <w:pPr>
        <w:pStyle w:val="Ttulo1"/>
        <w:rPr>
          <w:lang w:val="es-ES"/>
        </w:rPr>
        <w:sectPr w:rsidR="00FE5F65" w:rsidRPr="00974B41">
          <w:pgSz w:w="11906" w:h="16838"/>
          <w:pgMar w:top="1440" w:right="1077" w:bottom="1440" w:left="1077" w:header="709" w:footer="709" w:gutter="0"/>
          <w:pgNumType w:start="0"/>
          <w:cols w:space="708"/>
          <w:titlePg/>
        </w:sectPr>
      </w:pPr>
      <w:bookmarkStart w:id="1" w:name="_GoBack"/>
      <w:bookmarkEnd w:id="1"/>
    </w:p>
    <w:p w14:paraId="2948FE80" w14:textId="1DFB6E08" w:rsidR="00FE5F65" w:rsidRPr="00974B41" w:rsidRDefault="00617248">
      <w:pPr>
        <w:pStyle w:val="Ttulo1"/>
        <w:spacing w:line="276" w:lineRule="auto"/>
        <w:jc w:val="both"/>
        <w:rPr>
          <w:lang w:val="es-ES"/>
        </w:rPr>
      </w:pPr>
      <w:bookmarkStart w:id="2" w:name="_Toc139015860"/>
      <w:r w:rsidRPr="00974B41">
        <w:rPr>
          <w:lang w:val="es-ES"/>
        </w:rPr>
        <w:lastRenderedPageBreak/>
        <w:t xml:space="preserve">01 </w:t>
      </w:r>
      <w:proofErr w:type="gramStart"/>
      <w:r w:rsidRPr="00974B41">
        <w:rPr>
          <w:color w:val="000000"/>
          <w:lang w:val="es-ES"/>
        </w:rPr>
        <w:t>Elementos</w:t>
      </w:r>
      <w:proofErr w:type="gramEnd"/>
      <w:r w:rsidRPr="00974B41">
        <w:rPr>
          <w:color w:val="000000"/>
          <w:lang w:val="es-ES"/>
        </w:rPr>
        <w:t xml:space="preserve"> básicos para entender las </w:t>
      </w:r>
      <w:r w:rsidR="00BC3AAE" w:rsidRPr="00974B41">
        <w:rPr>
          <w:color w:val="000000"/>
          <w:lang w:val="es-ES"/>
        </w:rPr>
        <w:t>Buenas</w:t>
      </w:r>
      <w:r w:rsidRPr="00974B41">
        <w:rPr>
          <w:color w:val="000000"/>
          <w:lang w:val="es-ES"/>
        </w:rPr>
        <w:t xml:space="preserve"> Prácticas</w:t>
      </w:r>
      <w:bookmarkEnd w:id="2"/>
    </w:p>
    <w:p w14:paraId="70584844"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05D95BC2" w14:textId="64DCBB22"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A medida que las preocupaciones ambientales y sociales continúan aumentando en todo el mundo, </w:t>
      </w:r>
      <w:r w:rsidR="00DE338D">
        <w:rPr>
          <w:rFonts w:ascii="IBM Plex Sans" w:eastAsia="IBM Plex Sans" w:hAnsi="IBM Plex Sans" w:cs="IBM Plex Sans"/>
          <w:color w:val="000000"/>
          <w:lang w:val="es-ES"/>
        </w:rPr>
        <w:t xml:space="preserve">son </w:t>
      </w:r>
      <w:r w:rsidRPr="00974B41">
        <w:rPr>
          <w:rFonts w:ascii="IBM Plex Sans" w:eastAsia="IBM Plex Sans" w:hAnsi="IBM Plex Sans" w:cs="IBM Plex Sans"/>
          <w:color w:val="000000"/>
          <w:lang w:val="es-ES"/>
        </w:rPr>
        <w:t>cada vez más</w:t>
      </w:r>
      <w:r w:rsidR="00DE338D">
        <w:rPr>
          <w:rFonts w:ascii="IBM Plex Sans" w:eastAsia="IBM Plex Sans" w:hAnsi="IBM Plex Sans" w:cs="IBM Plex Sans"/>
          <w:color w:val="000000"/>
          <w:lang w:val="es-ES"/>
        </w:rPr>
        <w:t xml:space="preserve"> las</w:t>
      </w:r>
      <w:r w:rsidRPr="00974B41">
        <w:rPr>
          <w:rFonts w:ascii="IBM Plex Sans" w:eastAsia="IBM Plex Sans" w:hAnsi="IBM Plex Sans" w:cs="IBM Plex Sans"/>
          <w:color w:val="000000"/>
          <w:lang w:val="es-ES"/>
        </w:rPr>
        <w:t xml:space="preserve"> organizaciones</w:t>
      </w:r>
      <w:r w:rsidR="00DE338D">
        <w:rPr>
          <w:rFonts w:ascii="IBM Plex Sans" w:eastAsia="IBM Plex Sans" w:hAnsi="IBM Plex Sans" w:cs="IBM Plex Sans"/>
          <w:color w:val="000000"/>
          <w:lang w:val="es-ES"/>
        </w:rPr>
        <w:t xml:space="preserve"> que</w:t>
      </w:r>
      <w:r w:rsidRPr="00974B41">
        <w:rPr>
          <w:rFonts w:ascii="IBM Plex Sans" w:eastAsia="IBM Plex Sans" w:hAnsi="IBM Plex Sans" w:cs="IBM Plex Sans"/>
          <w:color w:val="000000"/>
          <w:lang w:val="es-ES"/>
        </w:rPr>
        <w:t xml:space="preserve"> están trabajando para incorporar la sostenibilidad en su estrategia y </w:t>
      </w:r>
      <w:r w:rsidR="00DE338D">
        <w:rPr>
          <w:rFonts w:ascii="IBM Plex Sans" w:eastAsia="IBM Plex Sans" w:hAnsi="IBM Plex Sans" w:cs="IBM Plex Sans"/>
          <w:color w:val="000000"/>
          <w:lang w:val="es-ES"/>
        </w:rPr>
        <w:t xml:space="preserve">sus </w:t>
      </w:r>
      <w:r w:rsidRPr="00974B41">
        <w:rPr>
          <w:rFonts w:ascii="IBM Plex Sans" w:eastAsia="IBM Plex Sans" w:hAnsi="IBM Plex Sans" w:cs="IBM Plex Sans"/>
          <w:color w:val="000000"/>
          <w:lang w:val="es-ES"/>
        </w:rPr>
        <w:t xml:space="preserve">prácticas empresariales u organizacionales.  Igualmente, si </w:t>
      </w:r>
      <w:r w:rsidR="00012821">
        <w:rPr>
          <w:rFonts w:ascii="IBM Plex Sans" w:eastAsia="IBM Plex Sans" w:hAnsi="IBM Plex Sans" w:cs="IBM Plex Sans"/>
          <w:color w:val="000000"/>
          <w:lang w:val="es-ES"/>
        </w:rPr>
        <w:t>sois</w:t>
      </w:r>
      <w:r w:rsidR="00012821"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 xml:space="preserve">una persona comprometida con la sostenibilidad y no </w:t>
      </w:r>
      <w:r w:rsidR="00012821">
        <w:rPr>
          <w:rFonts w:ascii="IBM Plex Sans" w:eastAsia="IBM Plex Sans" w:hAnsi="IBM Plex Sans" w:cs="IBM Plex Sans"/>
          <w:color w:val="000000"/>
          <w:lang w:val="es-ES"/>
        </w:rPr>
        <w:t>tenéis</w:t>
      </w:r>
      <w:r w:rsidR="00012821"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nada que ver con un modelo concreto de organización, también pueden interesar</w:t>
      </w:r>
      <w:r w:rsidR="00012821">
        <w:rPr>
          <w:rFonts w:ascii="IBM Plex Sans" w:eastAsia="IBM Plex Sans" w:hAnsi="IBM Plex Sans" w:cs="IBM Plex Sans"/>
          <w:color w:val="000000"/>
          <w:lang w:val="es-ES"/>
        </w:rPr>
        <w:t>os</w:t>
      </w:r>
      <w:r w:rsidRPr="00974B41">
        <w:rPr>
          <w:rFonts w:ascii="IBM Plex Sans" w:eastAsia="IBM Plex Sans" w:hAnsi="IBM Plex Sans" w:cs="IBM Plex Sans"/>
          <w:color w:val="000000"/>
          <w:lang w:val="es-ES"/>
        </w:rPr>
        <w:t xml:space="preserve"> estas buenas prácticas, ya que todas ellas siguen un patrón básico que consiste en tener claro </w:t>
      </w:r>
      <w:r w:rsidR="00FB4AFF">
        <w:rPr>
          <w:rFonts w:ascii="IBM Plex Sans" w:eastAsia="IBM Plex Sans" w:hAnsi="IBM Plex Sans" w:cs="IBM Plex Sans"/>
          <w:color w:val="000000"/>
          <w:lang w:val="es-ES"/>
        </w:rPr>
        <w:t>vuestro</w:t>
      </w:r>
      <w:r w:rsidR="00FB4AFF"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 xml:space="preserve">compromiso, saber </w:t>
      </w:r>
      <w:r w:rsidR="00FB4AFF" w:rsidRPr="00FB4AFF">
        <w:rPr>
          <w:rFonts w:ascii="IBM Plex Sans" w:eastAsia="IBM Plex Sans" w:hAnsi="IBM Plex Sans" w:cs="IBM Plex Sans"/>
          <w:color w:val="000000"/>
          <w:lang w:val="es-ES"/>
        </w:rPr>
        <w:t>cuál</w:t>
      </w:r>
      <w:r w:rsidRPr="00974B41">
        <w:rPr>
          <w:rFonts w:ascii="IBM Plex Sans" w:eastAsia="IBM Plex Sans" w:hAnsi="IBM Plex Sans" w:cs="IBM Plex Sans"/>
          <w:color w:val="000000"/>
          <w:lang w:val="es-ES"/>
        </w:rPr>
        <w:t xml:space="preserve"> es </w:t>
      </w:r>
      <w:r w:rsidR="00FB4AFF">
        <w:rPr>
          <w:rFonts w:ascii="IBM Plex Sans" w:eastAsia="IBM Plex Sans" w:hAnsi="IBM Plex Sans" w:cs="IBM Plex Sans"/>
          <w:color w:val="000000"/>
          <w:lang w:val="es-ES"/>
        </w:rPr>
        <w:t>vuestro</w:t>
      </w:r>
      <w:r w:rsidR="00FB4AFF"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punto de partida, trazar</w:t>
      </w:r>
      <w:r w:rsidR="00FB4AFF">
        <w:rPr>
          <w:rFonts w:ascii="IBM Plex Sans" w:eastAsia="IBM Plex Sans" w:hAnsi="IBM Plex Sans" w:cs="IBM Plex Sans"/>
          <w:color w:val="000000"/>
          <w:lang w:val="es-ES"/>
        </w:rPr>
        <w:t>os</w:t>
      </w:r>
      <w:r w:rsidRPr="00974B41">
        <w:rPr>
          <w:rFonts w:ascii="IBM Plex Sans" w:eastAsia="IBM Plex Sans" w:hAnsi="IBM Plex Sans" w:cs="IBM Plex Sans"/>
          <w:color w:val="000000"/>
          <w:lang w:val="es-ES"/>
        </w:rPr>
        <w:t xml:space="preserve"> un plan de acciones y poder monitorear cómo vas avanzando en </w:t>
      </w:r>
      <w:r w:rsidR="00FB4AFF">
        <w:rPr>
          <w:rFonts w:ascii="IBM Plex Sans" w:eastAsia="IBM Plex Sans" w:hAnsi="IBM Plex Sans" w:cs="IBM Plex Sans"/>
          <w:color w:val="000000"/>
          <w:lang w:val="es-ES"/>
        </w:rPr>
        <w:t>la</w:t>
      </w:r>
      <w:r w:rsidR="00FB4AFF"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 xml:space="preserve">mejora continua. </w:t>
      </w:r>
    </w:p>
    <w:p w14:paraId="7EA1C91C"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1FAD3AC0" w14:textId="0303E205"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A continuación, </w:t>
      </w:r>
      <w:r w:rsidR="00372924">
        <w:rPr>
          <w:rFonts w:ascii="IBM Plex Sans" w:eastAsia="IBM Plex Sans" w:hAnsi="IBM Plex Sans" w:cs="IBM Plex Sans"/>
          <w:color w:val="000000"/>
          <w:lang w:val="es-ES"/>
        </w:rPr>
        <w:t>os</w:t>
      </w:r>
      <w:r w:rsidR="00372924"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presentamos este patrón básico de mejora continua que puede servir tanto para organizaciones como para la vida cotidiana:</w:t>
      </w:r>
    </w:p>
    <w:p w14:paraId="53B389BA" w14:textId="46B71625" w:rsidR="00FE5F65" w:rsidRPr="00974B41" w:rsidRDefault="00617248">
      <w:pPr>
        <w:numPr>
          <w:ilvl w:val="0"/>
          <w:numId w:val="8"/>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Establecer objetivos claros y medibles para sus prácticas de sostenibilidad. Esto puede incluir objetivos como reducir las emisiones de gases de efecto invernadero, aumentar la eficiencia energética, reducir el uso de plásticos de un solo uso y mejorar la gestión de residuos. Otros objetivos que </w:t>
      </w:r>
      <w:r w:rsidR="002B3AFE">
        <w:rPr>
          <w:rFonts w:ascii="IBM Plex Sans" w:eastAsia="IBM Plex Sans" w:hAnsi="IBM Plex Sans" w:cs="IBM Plex Sans"/>
          <w:color w:val="000000"/>
          <w:lang w:val="es-ES"/>
        </w:rPr>
        <w:t>podemos plantearnos</w:t>
      </w:r>
      <w:r w:rsidRPr="00974B41">
        <w:rPr>
          <w:rFonts w:ascii="IBM Plex Sans" w:eastAsia="IBM Plex Sans" w:hAnsi="IBM Plex Sans" w:cs="IBM Plex Sans"/>
          <w:color w:val="000000"/>
          <w:lang w:val="es-ES"/>
        </w:rPr>
        <w:t xml:space="preserve"> a modo individual es hacer más deporte (ODS 3)</w:t>
      </w:r>
      <w:r w:rsidR="002B3AFE">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estudiar más (ODS 4) o también no tirar comida (ODS 2).</w:t>
      </w:r>
    </w:p>
    <w:p w14:paraId="29B78455" w14:textId="5C7747D9" w:rsidR="00FE5F65" w:rsidRPr="00974B41" w:rsidRDefault="00617248">
      <w:pPr>
        <w:numPr>
          <w:ilvl w:val="0"/>
          <w:numId w:val="8"/>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Realizar una evaluación de impacto: </w:t>
      </w:r>
      <w:r w:rsidR="000C0228">
        <w:rPr>
          <w:rFonts w:ascii="IBM Plex Sans" w:eastAsia="IBM Plex Sans" w:hAnsi="IBM Plex Sans" w:cs="IBM Plex Sans"/>
          <w:color w:val="000000"/>
          <w:lang w:val="es-ES"/>
        </w:rPr>
        <w:t>P</w:t>
      </w:r>
      <w:r w:rsidRPr="00974B41">
        <w:rPr>
          <w:rFonts w:ascii="IBM Plex Sans" w:eastAsia="IBM Plex Sans" w:hAnsi="IBM Plex Sans" w:cs="IBM Plex Sans"/>
          <w:color w:val="000000"/>
          <w:lang w:val="es-ES"/>
        </w:rPr>
        <w:t xml:space="preserve">ara determinar las áreas que requieren mejoras y establecer metas realistas, las organizaciones deben realizar una evaluación de impacto ambiental y social. Esto puede ayudarles a identificar las áreas donde se necesitan mejoras y establecer metas realistas. Y en el caso de acciones particulares </w:t>
      </w:r>
      <w:r w:rsidR="00A40093">
        <w:rPr>
          <w:rFonts w:ascii="IBM Plex Sans" w:eastAsia="IBM Plex Sans" w:hAnsi="IBM Plex Sans" w:cs="IBM Plex Sans"/>
          <w:color w:val="000000"/>
          <w:lang w:val="es-ES"/>
        </w:rPr>
        <w:t>podéis</w:t>
      </w:r>
      <w:r w:rsidR="00A40093"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 xml:space="preserve">medir </w:t>
      </w:r>
      <w:r w:rsidR="00A40093">
        <w:rPr>
          <w:rFonts w:ascii="IBM Plex Sans" w:eastAsia="IBM Plex Sans" w:hAnsi="IBM Plex Sans" w:cs="IBM Plex Sans"/>
          <w:color w:val="000000"/>
          <w:lang w:val="es-ES"/>
        </w:rPr>
        <w:t>vuestra</w:t>
      </w:r>
      <w:r w:rsidR="00A40093"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huella de carbono o tu huella ecológica como lo hemos visto en el módulo anterior.</w:t>
      </w:r>
    </w:p>
    <w:p w14:paraId="005C699B" w14:textId="5814E3C0" w:rsidR="00FE5F65" w:rsidRPr="00974B41" w:rsidRDefault="00617248">
      <w:pPr>
        <w:numPr>
          <w:ilvl w:val="0"/>
          <w:numId w:val="8"/>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Involucrar a otras personas: </w:t>
      </w:r>
      <w:r w:rsidR="000C0228">
        <w:rPr>
          <w:rFonts w:ascii="IBM Plex Sans" w:eastAsia="IBM Plex Sans" w:hAnsi="IBM Plex Sans" w:cs="IBM Plex Sans"/>
          <w:color w:val="000000"/>
          <w:lang w:val="es-ES"/>
        </w:rPr>
        <w:t>L</w:t>
      </w:r>
      <w:r w:rsidRPr="00974B41">
        <w:rPr>
          <w:rFonts w:ascii="IBM Plex Sans" w:eastAsia="IBM Plex Sans" w:hAnsi="IBM Plex Sans" w:cs="IBM Plex Sans"/>
          <w:color w:val="000000"/>
          <w:lang w:val="es-ES"/>
        </w:rPr>
        <w:t xml:space="preserve">os empleados </w:t>
      </w:r>
      <w:r w:rsidR="00163CCF">
        <w:rPr>
          <w:rFonts w:ascii="IBM Plex Sans" w:eastAsia="IBM Plex Sans" w:hAnsi="IBM Plex Sans" w:cs="IBM Plex Sans"/>
          <w:color w:val="000000"/>
          <w:lang w:val="es-ES"/>
        </w:rPr>
        <w:t xml:space="preserve">y las empleadas </w:t>
      </w:r>
      <w:r w:rsidRPr="00974B41">
        <w:rPr>
          <w:rFonts w:ascii="IBM Plex Sans" w:eastAsia="IBM Plex Sans" w:hAnsi="IBM Plex Sans" w:cs="IBM Plex Sans"/>
          <w:color w:val="000000"/>
          <w:lang w:val="es-ES"/>
        </w:rPr>
        <w:t xml:space="preserve">de una empresa o los socios </w:t>
      </w:r>
      <w:r w:rsidR="002E651F">
        <w:rPr>
          <w:rFonts w:ascii="IBM Plex Sans" w:eastAsia="IBM Plex Sans" w:hAnsi="IBM Plex Sans" w:cs="IBM Plex Sans"/>
          <w:color w:val="000000"/>
          <w:lang w:val="es-ES"/>
        </w:rPr>
        <w:t xml:space="preserve">y socias </w:t>
      </w:r>
      <w:r w:rsidRPr="00974B41">
        <w:rPr>
          <w:rFonts w:ascii="IBM Plex Sans" w:eastAsia="IBM Plex Sans" w:hAnsi="IBM Plex Sans" w:cs="IBM Plex Sans"/>
          <w:color w:val="000000"/>
          <w:lang w:val="es-ES"/>
        </w:rPr>
        <w:t>de una ONG son los activos más valiosos de cualquier organización, y pueden ser una fuente valiosa de ideas y energía para la sostenibilidad. Las organizaciones deben involucrar a sus empleados</w:t>
      </w:r>
      <w:r w:rsidR="00D047FD">
        <w:rPr>
          <w:rFonts w:ascii="IBM Plex Sans" w:eastAsia="IBM Plex Sans" w:hAnsi="IBM Plex Sans" w:cs="IBM Plex Sans"/>
          <w:color w:val="000000"/>
          <w:lang w:val="es-ES"/>
        </w:rPr>
        <w:t>/as</w:t>
      </w:r>
      <w:r w:rsidRPr="00974B41">
        <w:rPr>
          <w:rFonts w:ascii="IBM Plex Sans" w:eastAsia="IBM Plex Sans" w:hAnsi="IBM Plex Sans" w:cs="IBM Plex Sans"/>
          <w:color w:val="000000"/>
          <w:lang w:val="es-ES"/>
        </w:rPr>
        <w:t xml:space="preserve"> o socios</w:t>
      </w:r>
      <w:r w:rsidR="00D047FD">
        <w:rPr>
          <w:rFonts w:ascii="IBM Plex Sans" w:eastAsia="IBM Plex Sans" w:hAnsi="IBM Plex Sans" w:cs="IBM Plex Sans"/>
          <w:color w:val="000000"/>
          <w:lang w:val="es-ES"/>
        </w:rPr>
        <w:t>/as</w:t>
      </w:r>
      <w:r w:rsidRPr="00974B41">
        <w:rPr>
          <w:rFonts w:ascii="IBM Plex Sans" w:eastAsia="IBM Plex Sans" w:hAnsi="IBM Plex Sans" w:cs="IBM Plex Sans"/>
          <w:color w:val="000000"/>
          <w:lang w:val="es-ES"/>
        </w:rPr>
        <w:t xml:space="preserve"> en la toma de decisiones y en la implementación de prácticas de sostenibilidad. Y en el caso particular siempre es mejor compartir estas buenas prácticas con la gente con la que compart</w:t>
      </w:r>
      <w:r w:rsidR="008B3244">
        <w:rPr>
          <w:rFonts w:ascii="IBM Plex Sans" w:eastAsia="IBM Plex Sans" w:hAnsi="IBM Plex Sans" w:cs="IBM Plex Sans"/>
          <w:color w:val="000000"/>
          <w:lang w:val="es-ES"/>
        </w:rPr>
        <w:t>imos</w:t>
      </w:r>
      <w:r w:rsidRPr="00974B41">
        <w:rPr>
          <w:rFonts w:ascii="IBM Plex Sans" w:eastAsia="IBM Plex Sans" w:hAnsi="IBM Plex Sans" w:cs="IBM Plex Sans"/>
          <w:color w:val="000000"/>
          <w:lang w:val="es-ES"/>
        </w:rPr>
        <w:t xml:space="preserve"> la vivienda pues les ayuda a entender sus acciones y a sumarse al plan de sostenibilidad del hogar.</w:t>
      </w:r>
    </w:p>
    <w:p w14:paraId="744BFFAD" w14:textId="77777777" w:rsidR="00FE5F65" w:rsidRPr="00974B41" w:rsidRDefault="00FE5F65">
      <w:pPr>
        <w:spacing w:after="0" w:line="240" w:lineRule="auto"/>
        <w:ind w:left="720"/>
        <w:jc w:val="both"/>
        <w:rPr>
          <w:rFonts w:ascii="IBM Plex Sans" w:eastAsia="IBM Plex Sans" w:hAnsi="IBM Plex Sans" w:cs="IBM Plex Sans"/>
          <w:color w:val="000000"/>
          <w:lang w:val="es-ES"/>
        </w:rPr>
      </w:pPr>
    </w:p>
    <w:p w14:paraId="229C7BAC" w14:textId="77777777" w:rsidR="00FE5F65" w:rsidRPr="00974B41" w:rsidRDefault="00617248">
      <w:pPr>
        <w:spacing w:after="0" w:line="240" w:lineRule="auto"/>
        <w:ind w:left="360"/>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Podemos incluir otras prácticas más, pero estas están más enfocada a las organizaciones y empresas:</w:t>
      </w:r>
    </w:p>
    <w:p w14:paraId="68414608" w14:textId="3472287F" w:rsidR="00FE5F65" w:rsidRPr="00974B41" w:rsidRDefault="00617248">
      <w:pPr>
        <w:numPr>
          <w:ilvl w:val="0"/>
          <w:numId w:val="8"/>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Fomentar la transparencia: </w:t>
      </w:r>
      <w:r w:rsidR="00FD308B">
        <w:rPr>
          <w:rFonts w:ascii="IBM Plex Sans" w:eastAsia="IBM Plex Sans" w:hAnsi="IBM Plex Sans" w:cs="IBM Plex Sans"/>
          <w:color w:val="000000"/>
          <w:lang w:val="es-ES"/>
        </w:rPr>
        <w:t>L</w:t>
      </w:r>
      <w:r w:rsidRPr="00974B41">
        <w:rPr>
          <w:rFonts w:ascii="IBM Plex Sans" w:eastAsia="IBM Plex Sans" w:hAnsi="IBM Plex Sans" w:cs="IBM Plex Sans"/>
          <w:color w:val="000000"/>
          <w:lang w:val="es-ES"/>
        </w:rPr>
        <w:t>as organizaciones deben ser transparentes sobre sus prácticas de sostenibilidad y comunicar sus objetivos y progreso</w:t>
      </w:r>
      <w:r w:rsidR="00B3768D">
        <w:rPr>
          <w:rFonts w:ascii="IBM Plex Sans" w:eastAsia="IBM Plex Sans" w:hAnsi="IBM Plex Sans" w:cs="IBM Plex Sans"/>
          <w:color w:val="000000"/>
          <w:lang w:val="es-ES"/>
        </w:rPr>
        <w:t>s</w:t>
      </w:r>
      <w:r w:rsidRPr="00974B41">
        <w:rPr>
          <w:rFonts w:ascii="IBM Plex Sans" w:eastAsia="IBM Plex Sans" w:hAnsi="IBM Plex Sans" w:cs="IBM Plex Sans"/>
          <w:color w:val="000000"/>
          <w:lang w:val="es-ES"/>
        </w:rPr>
        <w:t xml:space="preserve"> a los clientes</w:t>
      </w:r>
      <w:r w:rsidR="00B3768D">
        <w:rPr>
          <w:rFonts w:ascii="IBM Plex Sans" w:eastAsia="IBM Plex Sans" w:hAnsi="IBM Plex Sans" w:cs="IBM Plex Sans"/>
          <w:color w:val="000000"/>
          <w:lang w:val="es-ES"/>
        </w:rPr>
        <w:t xml:space="preserve"> y clientas</w:t>
      </w:r>
      <w:r w:rsidRPr="00974B41">
        <w:rPr>
          <w:rFonts w:ascii="IBM Plex Sans" w:eastAsia="IBM Plex Sans" w:hAnsi="IBM Plex Sans" w:cs="IBM Plex Sans"/>
          <w:color w:val="000000"/>
          <w:lang w:val="es-ES"/>
        </w:rPr>
        <w:t xml:space="preserve">, proveedores y otras partes interesadas. Esto ayuda a generar confianza y credibilidad en la organización. </w:t>
      </w:r>
    </w:p>
    <w:p w14:paraId="2B2884DD" w14:textId="1A88719F" w:rsidR="00FE5F65" w:rsidRPr="00974B41" w:rsidRDefault="00617248">
      <w:pPr>
        <w:numPr>
          <w:ilvl w:val="0"/>
          <w:numId w:val="8"/>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Integrar la sostenibilidad en la cadena de suministro: </w:t>
      </w:r>
      <w:r w:rsidR="00FD308B">
        <w:rPr>
          <w:rFonts w:ascii="IBM Plex Sans" w:eastAsia="IBM Plex Sans" w:hAnsi="IBM Plex Sans" w:cs="IBM Plex Sans"/>
          <w:color w:val="000000"/>
          <w:lang w:val="es-ES"/>
        </w:rPr>
        <w:t>L</w:t>
      </w:r>
      <w:r w:rsidRPr="00974B41">
        <w:rPr>
          <w:rFonts w:ascii="IBM Plex Sans" w:eastAsia="IBM Plex Sans" w:hAnsi="IBM Plex Sans" w:cs="IBM Plex Sans"/>
          <w:color w:val="000000"/>
          <w:lang w:val="es-ES"/>
        </w:rPr>
        <w:t>as organizaciones deben trabajar con sus proveedores para mejorar la sostenibilidad de su cadena de suministro. Esto puede incluir la selección de proveedores que cumplan con ciertos criterios ambientales y sociales y la colaboración en la implementación de prácticas más sostenibles.</w:t>
      </w:r>
    </w:p>
    <w:p w14:paraId="4C7DD199" w14:textId="7F7BA04C" w:rsidR="00FE5F65" w:rsidRPr="00974B41" w:rsidRDefault="00617248">
      <w:pPr>
        <w:numPr>
          <w:ilvl w:val="0"/>
          <w:numId w:val="8"/>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Medir y evaluar el progreso: </w:t>
      </w:r>
      <w:r w:rsidR="006E3399">
        <w:rPr>
          <w:rFonts w:ascii="IBM Plex Sans" w:eastAsia="IBM Plex Sans" w:hAnsi="IBM Plex Sans" w:cs="IBM Plex Sans"/>
          <w:color w:val="000000"/>
          <w:lang w:val="es-ES"/>
        </w:rPr>
        <w:t>L</w:t>
      </w:r>
      <w:r w:rsidRPr="00974B41">
        <w:rPr>
          <w:rFonts w:ascii="IBM Plex Sans" w:eastAsia="IBM Plex Sans" w:hAnsi="IBM Plex Sans" w:cs="IBM Plex Sans"/>
          <w:color w:val="000000"/>
          <w:lang w:val="es-ES"/>
        </w:rPr>
        <w:t>as organizaciones deben establecer indicadores de desempeño y medir y evaluar regularmente su progreso hacia la sostenibilidad. Esto les permite ajustar sus prácticas y estrategias si es necesario</w:t>
      </w:r>
      <w:r w:rsidR="006E3399">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y demostrar su compromiso con la sostenibilidad.</w:t>
      </w:r>
    </w:p>
    <w:p w14:paraId="11DEC715" w14:textId="44C18503" w:rsidR="00FE5F65" w:rsidRPr="00974B41" w:rsidRDefault="00617248">
      <w:pPr>
        <w:numPr>
          <w:ilvl w:val="0"/>
          <w:numId w:val="8"/>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Innovación: </w:t>
      </w:r>
      <w:r w:rsidR="006E3399">
        <w:rPr>
          <w:rFonts w:ascii="IBM Plex Sans" w:eastAsia="IBM Plex Sans" w:hAnsi="IBM Plex Sans" w:cs="IBM Plex Sans"/>
          <w:color w:val="000000"/>
          <w:lang w:val="es-ES"/>
        </w:rPr>
        <w:t>L</w:t>
      </w:r>
      <w:r w:rsidRPr="00974B41">
        <w:rPr>
          <w:rFonts w:ascii="IBM Plex Sans" w:eastAsia="IBM Plex Sans" w:hAnsi="IBM Plex Sans" w:cs="IBM Plex Sans"/>
          <w:color w:val="000000"/>
          <w:lang w:val="es-ES"/>
        </w:rPr>
        <w:t>as organizaciones deben fomentar la innovación y la creatividad para encontrar soluciones sostenibles a los desafíos empresariales y medioambientales. Esto puede incluir el desarrollo de nuevos productos y servicios sostenibles o la implementación de nuevas tecnologías para mejorar la eficiencia energética y reducir los residuos</w:t>
      </w:r>
      <w:r w:rsidR="00ED2F5F">
        <w:rPr>
          <w:rFonts w:ascii="IBM Plex Sans" w:eastAsia="IBM Plex Sans" w:hAnsi="IBM Plex Sans" w:cs="IBM Plex Sans"/>
          <w:color w:val="000000"/>
          <w:lang w:val="es-ES"/>
        </w:rPr>
        <w:t xml:space="preserve"> generados</w:t>
      </w:r>
      <w:r w:rsidRPr="00974B41">
        <w:rPr>
          <w:rFonts w:ascii="IBM Plex Sans" w:eastAsia="IBM Plex Sans" w:hAnsi="IBM Plex Sans" w:cs="IBM Plex Sans"/>
          <w:color w:val="000000"/>
          <w:lang w:val="es-ES"/>
        </w:rPr>
        <w:t>.</w:t>
      </w:r>
    </w:p>
    <w:p w14:paraId="2A8824B5"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43F4F072" w14:textId="40DA96D4"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Estas son algunas de las mejores prácticas que pueden ayudar a las organizaciones a caminar hacia la sostenibilidad. </w:t>
      </w:r>
      <w:r w:rsidR="00794A42">
        <w:rPr>
          <w:rFonts w:ascii="IBM Plex Sans" w:eastAsia="IBM Plex Sans" w:hAnsi="IBM Plex Sans" w:cs="IBM Plex Sans"/>
          <w:color w:val="000000"/>
          <w:lang w:val="es-ES"/>
        </w:rPr>
        <w:t>Como podemos ver,</w:t>
      </w:r>
      <w:r w:rsidRPr="00974B41">
        <w:rPr>
          <w:rFonts w:ascii="IBM Plex Sans" w:eastAsia="IBM Plex Sans" w:hAnsi="IBM Plex Sans" w:cs="IBM Plex Sans"/>
          <w:color w:val="000000"/>
          <w:lang w:val="es-ES"/>
        </w:rPr>
        <w:t xml:space="preserve"> algunas de ellas pueden además servir para </w:t>
      </w:r>
      <w:r w:rsidR="00794A42">
        <w:rPr>
          <w:rFonts w:ascii="IBM Plex Sans" w:eastAsia="IBM Plex Sans" w:hAnsi="IBM Plex Sans" w:cs="IBM Plex Sans"/>
          <w:color w:val="000000"/>
          <w:lang w:val="es-ES"/>
        </w:rPr>
        <w:t xml:space="preserve">aplicarlas a modo </w:t>
      </w:r>
      <w:r w:rsidR="00581492">
        <w:rPr>
          <w:rFonts w:ascii="IBM Plex Sans" w:eastAsia="IBM Plex Sans" w:hAnsi="IBM Plex Sans" w:cs="IBM Plex Sans"/>
          <w:color w:val="000000"/>
          <w:lang w:val="es-ES"/>
        </w:rPr>
        <w:t>personal</w:t>
      </w:r>
      <w:r w:rsidRPr="00974B41">
        <w:rPr>
          <w:rFonts w:ascii="IBM Plex Sans" w:eastAsia="IBM Plex Sans" w:hAnsi="IBM Plex Sans" w:cs="IBM Plex Sans"/>
          <w:color w:val="000000"/>
          <w:lang w:val="es-ES"/>
        </w:rPr>
        <w:t xml:space="preserve"> </w:t>
      </w:r>
      <w:r w:rsidR="00DE6FA0">
        <w:rPr>
          <w:rFonts w:ascii="IBM Plex Sans" w:eastAsia="IBM Plex Sans" w:hAnsi="IBM Plex Sans" w:cs="IBM Plex Sans"/>
          <w:color w:val="000000"/>
          <w:lang w:val="es-ES"/>
        </w:rPr>
        <w:t>y planificar</w:t>
      </w:r>
      <w:r w:rsidR="00DE6FA0"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y gestion</w:t>
      </w:r>
      <w:r w:rsidR="00DE6FA0">
        <w:rPr>
          <w:rFonts w:ascii="IBM Plex Sans" w:eastAsia="IBM Plex Sans" w:hAnsi="IBM Plex Sans" w:cs="IBM Plex Sans"/>
          <w:color w:val="000000"/>
          <w:lang w:val="es-ES"/>
        </w:rPr>
        <w:t>ar</w:t>
      </w:r>
      <w:r w:rsidRPr="00974B41">
        <w:rPr>
          <w:rFonts w:ascii="IBM Plex Sans" w:eastAsia="IBM Plex Sans" w:hAnsi="IBM Plex Sans" w:cs="IBM Plex Sans"/>
          <w:color w:val="000000"/>
          <w:lang w:val="es-ES"/>
        </w:rPr>
        <w:t xml:space="preserve"> </w:t>
      </w:r>
      <w:r w:rsidR="00DE6FA0">
        <w:rPr>
          <w:rFonts w:ascii="IBM Plex Sans" w:eastAsia="IBM Plex Sans" w:hAnsi="IBM Plex Sans" w:cs="IBM Plex Sans"/>
          <w:color w:val="000000"/>
          <w:lang w:val="es-ES"/>
        </w:rPr>
        <w:t>así vuestro</w:t>
      </w:r>
      <w:r w:rsidR="00DE6FA0"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propio cambio y compromiso con la sostenibilidad.</w:t>
      </w:r>
    </w:p>
    <w:p w14:paraId="26B92433" w14:textId="77777777"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A continuación, os presentaremos algunos casos de buenas prácticas que combinan la sostenibilidad y las herramientas tecnológicas.  </w:t>
      </w:r>
    </w:p>
    <w:p w14:paraId="27AE89C0" w14:textId="77777777" w:rsidR="00FE5F65" w:rsidRPr="00974B41" w:rsidRDefault="00FE5F65">
      <w:pPr>
        <w:spacing w:after="0" w:line="240" w:lineRule="auto"/>
        <w:rPr>
          <w:rFonts w:ascii="Calibri" w:eastAsia="Calibri" w:hAnsi="Calibri" w:cs="Calibri"/>
          <w:color w:val="000000"/>
          <w:lang w:val="es-ES"/>
        </w:rPr>
      </w:pPr>
    </w:p>
    <w:p w14:paraId="6DE760B1" w14:textId="77777777" w:rsidR="00FE5F65" w:rsidRPr="00974B41" w:rsidRDefault="00617248">
      <w:pPr>
        <w:pStyle w:val="Ttulo1"/>
        <w:rPr>
          <w:lang w:val="es-ES"/>
        </w:rPr>
      </w:pPr>
      <w:bookmarkStart w:id="3" w:name="_Toc139015861"/>
      <w:r w:rsidRPr="00974B41">
        <w:rPr>
          <w:lang w:val="es-ES"/>
        </w:rPr>
        <w:t xml:space="preserve">02 </w:t>
      </w:r>
      <w:proofErr w:type="gramStart"/>
      <w:r w:rsidRPr="00974B41">
        <w:rPr>
          <w:lang w:val="es-ES"/>
        </w:rPr>
        <w:t>Buenas</w:t>
      </w:r>
      <w:proofErr w:type="gramEnd"/>
      <w:r w:rsidRPr="00974B41">
        <w:rPr>
          <w:lang w:val="es-ES"/>
        </w:rPr>
        <w:t xml:space="preserve"> Prácticas en Red</w:t>
      </w:r>
      <w:bookmarkEnd w:id="3"/>
    </w:p>
    <w:p w14:paraId="60754D40" w14:textId="77777777" w:rsidR="00FE5F65" w:rsidRPr="00974B41" w:rsidRDefault="00FE5F65">
      <w:pPr>
        <w:spacing w:after="0" w:line="240" w:lineRule="auto"/>
        <w:jc w:val="both"/>
        <w:rPr>
          <w:lang w:val="es-ES"/>
        </w:rPr>
      </w:pPr>
    </w:p>
    <w:p w14:paraId="0F218045" w14:textId="7ABA6B6A"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La propuesta que aquí se presenta radica en la realización de una “Ruta de los ODS” donde la juventud participó en su diseño e identificó los lugares más representativos para cada uno de los ODS, en su contexto local. Además, se propuso la realización de un “Aula Abierta a los ODS” pensada como un espacio al aire libre que </w:t>
      </w:r>
      <w:r w:rsidR="00724840">
        <w:rPr>
          <w:rFonts w:ascii="IBM Plex Sans" w:eastAsia="IBM Plex Sans" w:hAnsi="IBM Plex Sans" w:cs="IBM Plex Sans"/>
          <w:color w:val="000000"/>
          <w:lang w:val="es-ES"/>
        </w:rPr>
        <w:t xml:space="preserve">hiciera </w:t>
      </w:r>
      <w:r w:rsidR="00EF3CB9">
        <w:rPr>
          <w:rFonts w:ascii="IBM Plex Sans" w:eastAsia="IBM Plex Sans" w:hAnsi="IBM Plex Sans" w:cs="IBM Plex Sans"/>
          <w:color w:val="000000"/>
          <w:lang w:val="es-ES"/>
        </w:rPr>
        <w:t>la función</w:t>
      </w:r>
      <w:r w:rsidR="00724840">
        <w:rPr>
          <w:rFonts w:ascii="IBM Plex Sans" w:eastAsia="IBM Plex Sans" w:hAnsi="IBM Plex Sans" w:cs="IBM Plex Sans"/>
          <w:color w:val="000000"/>
          <w:lang w:val="es-ES"/>
        </w:rPr>
        <w:t xml:space="preserve"> de</w:t>
      </w:r>
      <w:r w:rsidRPr="00974B41">
        <w:rPr>
          <w:rFonts w:ascii="IBM Plex Sans" w:eastAsia="IBM Plex Sans" w:hAnsi="IBM Plex Sans" w:cs="IBM Plex Sans"/>
          <w:color w:val="000000"/>
          <w:lang w:val="es-ES"/>
        </w:rPr>
        <w:t xml:space="preserve"> punto de encuentro para iniciar y acabar la ruta. Las actividades de participación juvenil estuvieron orientadas a que los mismos jóvenes realiza</w:t>
      </w:r>
      <w:r w:rsidR="00B720AC">
        <w:rPr>
          <w:rFonts w:ascii="IBM Plex Sans" w:eastAsia="IBM Plex Sans" w:hAnsi="IBM Plex Sans" w:cs="IBM Plex Sans"/>
          <w:color w:val="000000"/>
          <w:lang w:val="es-ES"/>
        </w:rPr>
        <w:t>s</w:t>
      </w:r>
      <w:r w:rsidRPr="00974B41">
        <w:rPr>
          <w:rFonts w:ascii="IBM Plex Sans" w:eastAsia="IBM Plex Sans" w:hAnsi="IBM Plex Sans" w:cs="IBM Plex Sans"/>
          <w:color w:val="000000"/>
          <w:lang w:val="es-ES"/>
        </w:rPr>
        <w:t xml:space="preserve">en la sensibilización y </w:t>
      </w:r>
      <w:r w:rsidR="00D84146">
        <w:rPr>
          <w:rFonts w:ascii="IBM Plex Sans" w:eastAsia="IBM Plex Sans" w:hAnsi="IBM Plex Sans" w:cs="IBM Plex Sans"/>
          <w:color w:val="000000"/>
          <w:lang w:val="es-ES"/>
        </w:rPr>
        <w:t>dar visibilidad a</w:t>
      </w:r>
      <w:r w:rsidRPr="00974B41">
        <w:rPr>
          <w:rFonts w:ascii="IBM Plex Sans" w:eastAsia="IBM Plex Sans" w:hAnsi="IBM Plex Sans" w:cs="IBM Plex Sans"/>
          <w:color w:val="000000"/>
          <w:lang w:val="es-ES"/>
        </w:rPr>
        <w:t xml:space="preserve"> los ODS aplicados al ámbito local, en colaboración con la UJI, la </w:t>
      </w:r>
      <w:proofErr w:type="spellStart"/>
      <w:r w:rsidRPr="00974B41">
        <w:rPr>
          <w:rFonts w:ascii="IBM Plex Sans" w:eastAsia="IBM Plex Sans" w:hAnsi="IBM Plex Sans" w:cs="IBM Plex Sans"/>
          <w:color w:val="000000"/>
          <w:lang w:val="es-ES"/>
        </w:rPr>
        <w:t>Xarxa</w:t>
      </w:r>
      <w:proofErr w:type="spellEnd"/>
      <w:r w:rsidRPr="00974B41">
        <w:rPr>
          <w:rFonts w:ascii="IBM Plex Sans" w:eastAsia="IBM Plex Sans" w:hAnsi="IBM Plex Sans" w:cs="IBM Plex Sans"/>
          <w:color w:val="000000"/>
          <w:lang w:val="es-ES"/>
        </w:rPr>
        <w:t xml:space="preserve"> Jove, el Ayuntamiento y los centros educativos del pueblo. De esta manera, la acción se orienta, por un lado, a otros </w:t>
      </w:r>
      <w:r w:rsidR="008D3C31">
        <w:rPr>
          <w:rFonts w:ascii="IBM Plex Sans" w:eastAsia="IBM Plex Sans" w:hAnsi="IBM Plex Sans" w:cs="IBM Plex Sans"/>
          <w:color w:val="000000"/>
          <w:lang w:val="es-ES"/>
        </w:rPr>
        <w:t xml:space="preserve">y otras </w:t>
      </w:r>
      <w:r w:rsidRPr="00974B41">
        <w:rPr>
          <w:rFonts w:ascii="IBM Plex Sans" w:eastAsia="IBM Plex Sans" w:hAnsi="IBM Plex Sans" w:cs="IBM Plex Sans"/>
          <w:color w:val="000000"/>
          <w:lang w:val="es-ES"/>
        </w:rPr>
        <w:t xml:space="preserve">jóvenes del municipio entre 12-30 años y, por otro lado, a la sensibilización de la comunidad local en general. Este proyecto es fruto de un trabajo de colaboración y coordinación entre diferentes titulaciones de la </w:t>
      </w:r>
      <w:proofErr w:type="spellStart"/>
      <w:r w:rsidRPr="00974B41">
        <w:rPr>
          <w:rFonts w:ascii="IBM Plex Sans" w:eastAsia="IBM Plex Sans" w:hAnsi="IBM Plex Sans" w:cs="IBM Plex Sans"/>
          <w:color w:val="000000"/>
          <w:lang w:val="es-ES"/>
        </w:rPr>
        <w:t>Universitat</w:t>
      </w:r>
      <w:proofErr w:type="spellEnd"/>
      <w:r w:rsidRPr="00974B41">
        <w:rPr>
          <w:rFonts w:ascii="IBM Plex Sans" w:eastAsia="IBM Plex Sans" w:hAnsi="IBM Plex Sans" w:cs="IBM Plex Sans"/>
          <w:color w:val="000000"/>
          <w:lang w:val="es-ES"/>
        </w:rPr>
        <w:t xml:space="preserve"> Jaume I y los agentes de las entidades locales, quienes mediante un proyecto integral de Aprendizaje-Servicio (APS) acercan el saber académico a las diferentes entidades locales (Batlle, 2020; González-Alonso et al., 2022; Lozano et al., 2020; Sanahuja, 2019; Sanahuja et al., 2021).</w:t>
      </w:r>
    </w:p>
    <w:p w14:paraId="13429FC0"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7DF74391"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11E80212" w14:textId="77777777" w:rsidR="00FE5F65" w:rsidRPr="00974B41" w:rsidRDefault="00617248">
      <w:pPr>
        <w:spacing w:after="0" w:line="240" w:lineRule="auto"/>
        <w:jc w:val="center"/>
        <w:rPr>
          <w:rFonts w:ascii="Courier New" w:eastAsia="Courier New" w:hAnsi="Courier New" w:cs="Courier New"/>
          <w:color w:val="000000"/>
          <w:sz w:val="20"/>
          <w:szCs w:val="20"/>
          <w:lang w:val="es-ES"/>
        </w:rPr>
      </w:pPr>
      <w:r w:rsidRPr="00974B41">
        <w:rPr>
          <w:rFonts w:ascii="Courier New" w:eastAsia="Courier New" w:hAnsi="Courier New" w:cs="Courier New"/>
          <w:noProof/>
          <w:color w:val="000000"/>
          <w:sz w:val="20"/>
          <w:szCs w:val="20"/>
          <w:lang w:val="es-ES"/>
        </w:rPr>
        <w:drawing>
          <wp:inline distT="114300" distB="114300" distL="114300" distR="114300" wp14:anchorId="26E09C6E" wp14:editId="11DDEB8D">
            <wp:extent cx="5238750" cy="3105150"/>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238750" cy="3105150"/>
                    </a:xfrm>
                    <a:prstGeom prst="rect">
                      <a:avLst/>
                    </a:prstGeom>
                    <a:ln/>
                  </pic:spPr>
                </pic:pic>
              </a:graphicData>
            </a:graphic>
          </wp:inline>
        </w:drawing>
      </w:r>
    </w:p>
    <w:p w14:paraId="0CA431B4" w14:textId="77777777" w:rsidR="00FE5F65" w:rsidRPr="00974B41" w:rsidRDefault="00FE5F65">
      <w:pPr>
        <w:spacing w:after="0" w:line="240" w:lineRule="auto"/>
        <w:rPr>
          <w:rFonts w:ascii="Courier New" w:eastAsia="Courier New" w:hAnsi="Courier New" w:cs="Courier New"/>
          <w:color w:val="000000"/>
          <w:sz w:val="20"/>
          <w:szCs w:val="20"/>
          <w:lang w:val="es-ES"/>
        </w:rPr>
      </w:pPr>
    </w:p>
    <w:p w14:paraId="12136C9B" w14:textId="6E6B33DB" w:rsidR="00FE5F65" w:rsidRPr="00974B41" w:rsidRDefault="00617248">
      <w:pPr>
        <w:spacing w:before="200"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lastRenderedPageBreak/>
        <w:t>En el desarrollo de estas acciones contamos con agentes de la administración pública (técnicos</w:t>
      </w:r>
      <w:r w:rsidR="0058458F">
        <w:rPr>
          <w:rFonts w:ascii="IBM Plex Sans" w:eastAsia="IBM Plex Sans" w:hAnsi="IBM Plex Sans" w:cs="IBM Plex Sans"/>
          <w:color w:val="000000"/>
          <w:lang w:val="es-ES"/>
        </w:rPr>
        <w:t xml:space="preserve"> y técnicas</w:t>
      </w:r>
      <w:r w:rsidRPr="00974B41">
        <w:rPr>
          <w:rFonts w:ascii="IBM Plex Sans" w:eastAsia="IBM Plex Sans" w:hAnsi="IBM Plex Sans" w:cs="IBM Plex Sans"/>
          <w:color w:val="000000"/>
          <w:lang w:val="es-ES"/>
        </w:rPr>
        <w:t>, políticos</w:t>
      </w:r>
      <w:r w:rsidR="006B2917">
        <w:rPr>
          <w:rFonts w:ascii="IBM Plex Sans" w:eastAsia="IBM Plex Sans" w:hAnsi="IBM Plex Sans" w:cs="IBM Plex Sans"/>
          <w:color w:val="000000"/>
          <w:lang w:val="es-ES"/>
        </w:rPr>
        <w:t xml:space="preserve"> y políticas</w:t>
      </w:r>
      <w:r w:rsidRPr="00974B41">
        <w:rPr>
          <w:rFonts w:ascii="IBM Plex Sans" w:eastAsia="IBM Plex Sans" w:hAnsi="IBM Plex Sans" w:cs="IBM Plex Sans"/>
          <w:color w:val="000000"/>
          <w:lang w:val="es-ES"/>
        </w:rPr>
        <w:t xml:space="preserve">, instituciones...), entidades educativas de todos los niveles, informantes clave y las personas jóvenes que dialogan y trabajan conjuntamente para construir un discurso participativo que represente la realidad de Borriol. En definitiva, un acercamiento a la aplicación de la Agenda 2030 a través de la promoción de una cultura local de participación. </w:t>
      </w:r>
    </w:p>
    <w:p w14:paraId="0E3A4237" w14:textId="690E1FEA" w:rsidR="00FE5F65" w:rsidRPr="00974B41" w:rsidRDefault="00617248">
      <w:pPr>
        <w:spacing w:before="200"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La justificación del proyecto y su interés sociocultural se basan en la participación social de la juventud en el contexto local, </w:t>
      </w:r>
      <w:r w:rsidR="002757CC">
        <w:rPr>
          <w:rFonts w:ascii="IBM Plex Sans" w:eastAsia="IBM Plex Sans" w:hAnsi="IBM Plex Sans" w:cs="IBM Plex Sans"/>
          <w:color w:val="000000"/>
          <w:lang w:val="es-ES"/>
        </w:rPr>
        <w:t>con la finalidad de</w:t>
      </w:r>
      <w:r w:rsidR="002757CC"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empoderar</w:t>
      </w:r>
      <w:r w:rsidR="002757CC">
        <w:rPr>
          <w:rFonts w:ascii="IBM Plex Sans" w:eastAsia="IBM Plex Sans" w:hAnsi="IBM Plex Sans" w:cs="IBM Plex Sans"/>
          <w:color w:val="000000"/>
          <w:lang w:val="es-ES"/>
        </w:rPr>
        <w:t xml:space="preserve">la </w:t>
      </w:r>
      <w:r w:rsidR="0041099D">
        <w:rPr>
          <w:rFonts w:ascii="IBM Plex Sans" w:eastAsia="IBM Plex Sans" w:hAnsi="IBM Plex Sans" w:cs="IBM Plex Sans"/>
          <w:color w:val="000000"/>
          <w:lang w:val="es-ES"/>
        </w:rPr>
        <w:t xml:space="preserve">y </w:t>
      </w:r>
      <w:r w:rsidR="006759FD">
        <w:rPr>
          <w:rFonts w:ascii="IBM Plex Sans" w:eastAsia="IBM Plex Sans" w:hAnsi="IBM Plex Sans" w:cs="IBM Plex Sans"/>
          <w:color w:val="000000"/>
          <w:lang w:val="es-ES"/>
        </w:rPr>
        <w:t>ofrecerle</w:t>
      </w:r>
      <w:r w:rsidR="0041099D">
        <w:rPr>
          <w:rFonts w:ascii="IBM Plex Sans" w:eastAsia="IBM Plex Sans" w:hAnsi="IBM Plex Sans" w:cs="IBM Plex Sans"/>
          <w:color w:val="000000"/>
          <w:lang w:val="es-ES"/>
        </w:rPr>
        <w:t xml:space="preserve"> las herramientas </w:t>
      </w:r>
      <w:r w:rsidR="002757CC">
        <w:rPr>
          <w:rFonts w:ascii="IBM Plex Sans" w:eastAsia="IBM Plex Sans" w:hAnsi="IBM Plex Sans" w:cs="IBM Plex Sans"/>
          <w:color w:val="000000"/>
          <w:lang w:val="es-ES"/>
        </w:rPr>
        <w:t xml:space="preserve">necesarias </w:t>
      </w:r>
      <w:r w:rsidR="0041099D">
        <w:rPr>
          <w:rFonts w:ascii="IBM Plex Sans" w:eastAsia="IBM Plex Sans" w:hAnsi="IBM Plex Sans" w:cs="IBM Plex Sans"/>
          <w:color w:val="000000"/>
          <w:lang w:val="es-ES"/>
        </w:rPr>
        <w:t>para cr</w:t>
      </w:r>
      <w:r w:rsidR="002757CC">
        <w:rPr>
          <w:rFonts w:ascii="IBM Plex Sans" w:eastAsia="IBM Plex Sans" w:hAnsi="IBM Plex Sans" w:cs="IBM Plex Sans"/>
          <w:color w:val="000000"/>
          <w:lang w:val="es-ES"/>
        </w:rPr>
        <w:t>ear</w:t>
      </w:r>
      <w:r w:rsidRPr="00974B41">
        <w:rPr>
          <w:rFonts w:ascii="IBM Plex Sans" w:eastAsia="IBM Plex Sans" w:hAnsi="IBM Plex Sans" w:cs="IBM Plex Sans"/>
          <w:color w:val="000000"/>
          <w:lang w:val="es-ES"/>
        </w:rPr>
        <w:t xml:space="preserve"> una cultura comunitaria </w:t>
      </w:r>
      <w:r w:rsidR="002757CC">
        <w:rPr>
          <w:rFonts w:ascii="IBM Plex Sans" w:eastAsia="IBM Plex Sans" w:hAnsi="IBM Plex Sans" w:cs="IBM Plex Sans"/>
          <w:color w:val="000000"/>
          <w:lang w:val="es-ES"/>
        </w:rPr>
        <w:t>basada en el</w:t>
      </w:r>
      <w:r w:rsidRPr="00974B41">
        <w:rPr>
          <w:rFonts w:ascii="IBM Plex Sans" w:eastAsia="IBM Plex Sans" w:hAnsi="IBM Plex Sans" w:cs="IBM Plex Sans"/>
          <w:color w:val="000000"/>
          <w:lang w:val="es-ES"/>
        </w:rPr>
        <w:t xml:space="preserve"> conocimiento y </w:t>
      </w:r>
      <w:r w:rsidR="002757CC">
        <w:rPr>
          <w:rFonts w:ascii="IBM Plex Sans" w:eastAsia="IBM Plex Sans" w:hAnsi="IBM Plex Sans" w:cs="IBM Plex Sans"/>
          <w:color w:val="000000"/>
          <w:lang w:val="es-ES"/>
        </w:rPr>
        <w:t xml:space="preserve">la </w:t>
      </w:r>
      <w:proofErr w:type="spellStart"/>
      <w:r w:rsidRPr="00974B41">
        <w:rPr>
          <w:rFonts w:ascii="IBM Plex Sans" w:eastAsia="IBM Plex Sans" w:hAnsi="IBM Plex Sans" w:cs="IBM Plex Sans"/>
          <w:color w:val="000000"/>
          <w:lang w:val="es-ES"/>
        </w:rPr>
        <w:t>visibilización</w:t>
      </w:r>
      <w:proofErr w:type="spellEnd"/>
      <w:r w:rsidRPr="00974B41">
        <w:rPr>
          <w:rFonts w:ascii="IBM Plex Sans" w:eastAsia="IBM Plex Sans" w:hAnsi="IBM Plex Sans" w:cs="IBM Plex Sans"/>
          <w:color w:val="000000"/>
          <w:lang w:val="es-ES"/>
        </w:rPr>
        <w:t xml:space="preserve"> de la Agenda 2030 y los ODS.</w:t>
      </w:r>
    </w:p>
    <w:p w14:paraId="6C0AEB87" w14:textId="264FC135" w:rsidR="00FE5F65" w:rsidRPr="00974B41" w:rsidRDefault="00617248">
      <w:pPr>
        <w:spacing w:before="200"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Para hacer esto posible, </w:t>
      </w:r>
      <w:r w:rsidR="00F756CE" w:rsidRPr="00F756CE">
        <w:rPr>
          <w:rFonts w:ascii="IBM Plex Sans" w:eastAsia="IBM Plex Sans" w:hAnsi="IBM Plex Sans" w:cs="IBM Plex Sans"/>
          <w:color w:val="000000"/>
          <w:lang w:val="es-ES"/>
        </w:rPr>
        <w:t>fue</w:t>
      </w:r>
      <w:r w:rsidRPr="00974B41">
        <w:rPr>
          <w:rFonts w:ascii="IBM Plex Sans" w:eastAsia="IBM Plex Sans" w:hAnsi="IBM Plex Sans" w:cs="IBM Plex Sans"/>
          <w:color w:val="000000"/>
          <w:lang w:val="es-ES"/>
        </w:rPr>
        <w:t xml:space="preserve"> necesario encontrar metodologías innovadoras y actuales para favorecer, impulsar y difundir programas y proyectos dónde se fomenta el diálogo y la reflexión intelectual,</w:t>
      </w:r>
      <w:r w:rsidR="00262164">
        <w:rPr>
          <w:rFonts w:ascii="IBM Plex Sans" w:eastAsia="IBM Plex Sans" w:hAnsi="IBM Plex Sans" w:cs="IBM Plex Sans"/>
          <w:color w:val="000000"/>
          <w:lang w:val="es-ES"/>
        </w:rPr>
        <w:t xml:space="preserve"> </w:t>
      </w:r>
      <w:r w:rsidR="00EB058D">
        <w:rPr>
          <w:rFonts w:ascii="IBM Plex Sans" w:eastAsia="IBM Plex Sans" w:hAnsi="IBM Plex Sans" w:cs="IBM Plex Sans"/>
          <w:color w:val="000000"/>
          <w:lang w:val="es-ES"/>
        </w:rPr>
        <w:t>y crear</w:t>
      </w:r>
      <w:r w:rsidRPr="00974B41">
        <w:rPr>
          <w:rFonts w:ascii="IBM Plex Sans" w:eastAsia="IBM Plex Sans" w:hAnsi="IBM Plex Sans" w:cs="IBM Plex Sans"/>
          <w:color w:val="000000"/>
          <w:lang w:val="es-ES"/>
        </w:rPr>
        <w:t xml:space="preserve"> espacios de intercambio y creatividad de la mano de los jóvenes en un ámbito local. De esta manera, se favorece la información, formación y transferencia del conocimiento integral y continuado entre los miembros de la comunidad universitaria y la sociedad en general.</w:t>
      </w:r>
    </w:p>
    <w:p w14:paraId="79FA990B" w14:textId="77777777" w:rsidR="00077E95" w:rsidRPr="00974B41" w:rsidRDefault="00077E95">
      <w:pPr>
        <w:widowControl w:val="0"/>
        <w:shd w:val="clear" w:color="auto" w:fill="FFFFFF"/>
        <w:tabs>
          <w:tab w:val="left" w:pos="478"/>
        </w:tabs>
        <w:spacing w:before="60" w:after="60" w:line="240" w:lineRule="auto"/>
        <w:jc w:val="both"/>
        <w:rPr>
          <w:rFonts w:ascii="IBM Plex Sans" w:eastAsia="IBM Plex Sans" w:hAnsi="IBM Plex Sans" w:cs="IBM Plex Sans"/>
          <w:color w:val="000000"/>
          <w:lang w:val="es-ES"/>
        </w:rPr>
      </w:pPr>
    </w:p>
    <w:p w14:paraId="1DCE36B5" w14:textId="77777777" w:rsidR="00FE5F65" w:rsidRPr="00974B41" w:rsidRDefault="00617248">
      <w:pPr>
        <w:widowControl w:val="0"/>
        <w:shd w:val="clear" w:color="auto" w:fill="FFFFFF"/>
        <w:tabs>
          <w:tab w:val="left" w:pos="478"/>
        </w:tabs>
        <w:spacing w:before="60" w:after="6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En relación con el contexto hay que destacar algunos elementos facilitadores:</w:t>
      </w:r>
    </w:p>
    <w:p w14:paraId="0B156D0A" w14:textId="05405934" w:rsidR="00FE5F65" w:rsidRPr="00974B41" w:rsidRDefault="00617248">
      <w:pPr>
        <w:widowControl w:val="0"/>
        <w:numPr>
          <w:ilvl w:val="0"/>
          <w:numId w:val="13"/>
        </w:numPr>
        <w:spacing w:after="0" w:line="269"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La Estrategia Valenciana de Juventud (EVJ) 2019-2023 tiene como objetivo</w:t>
      </w:r>
      <w:r w:rsidR="00482068">
        <w:rPr>
          <w:rFonts w:ascii="IBM Plex Sans" w:eastAsia="IBM Plex Sans" w:hAnsi="IBM Plex Sans" w:cs="IBM Plex Sans"/>
          <w:color w:val="000000"/>
          <w:lang w:val="es-ES"/>
        </w:rPr>
        <w:t xml:space="preserve"> construir </w:t>
      </w:r>
      <w:r w:rsidRPr="00974B41">
        <w:rPr>
          <w:rFonts w:ascii="IBM Plex Sans" w:eastAsia="IBM Plex Sans" w:hAnsi="IBM Plex Sans" w:cs="IBM Plex Sans"/>
          <w:color w:val="000000"/>
          <w:lang w:val="es-ES"/>
        </w:rPr>
        <w:t>colectiva</w:t>
      </w:r>
      <w:r w:rsidR="00482068">
        <w:rPr>
          <w:rFonts w:ascii="IBM Plex Sans" w:eastAsia="IBM Plex Sans" w:hAnsi="IBM Plex Sans" w:cs="IBM Plex Sans"/>
          <w:color w:val="000000"/>
          <w:lang w:val="es-ES"/>
        </w:rPr>
        <w:t>mente</w:t>
      </w:r>
      <w:r w:rsidRPr="00974B41">
        <w:rPr>
          <w:rFonts w:ascii="IBM Plex Sans" w:eastAsia="IBM Plex Sans" w:hAnsi="IBM Plex Sans" w:cs="IBM Plex Sans"/>
          <w:color w:val="000000"/>
          <w:lang w:val="es-ES"/>
        </w:rPr>
        <w:t xml:space="preserve"> el futuro de la juventud, donde haya una inclusión activa junto con su propio empoderamiento. Los principios de la EVJ se clasifican en cinco ejes fundamentales: integralidad, transversalidad y proximidad; perspectiva de género y feminismos; participación, cooperación y codecisión; igualdad en la diversidad y solidaridad generacional; inclusión activa y efectividad de derechos. Los agentes de la EVJ son </w:t>
      </w:r>
      <w:r w:rsidR="00EB00A7">
        <w:rPr>
          <w:rFonts w:ascii="IBM Plex Sans" w:eastAsia="IBM Plex Sans" w:hAnsi="IBM Plex Sans" w:cs="IBM Plex Sans"/>
          <w:color w:val="000000"/>
          <w:lang w:val="es-ES"/>
        </w:rPr>
        <w:t>los y las jóvenes</w:t>
      </w:r>
      <w:r w:rsidRPr="00974B41">
        <w:rPr>
          <w:rFonts w:ascii="IBM Plex Sans" w:eastAsia="IBM Plex Sans" w:hAnsi="IBM Plex Sans" w:cs="IBM Plex Sans"/>
          <w:color w:val="000000"/>
          <w:lang w:val="es-ES"/>
        </w:rPr>
        <w:t>, el mundo cívico-asociativo, los</w:t>
      </w:r>
      <w:r w:rsidR="00EB00A7">
        <w:rPr>
          <w:rFonts w:ascii="IBM Plex Sans" w:eastAsia="IBM Plex Sans" w:hAnsi="IBM Plex Sans" w:cs="IBM Plex Sans"/>
          <w:color w:val="000000"/>
          <w:lang w:val="es-ES"/>
        </w:rPr>
        <w:t xml:space="preserve"> y las</w:t>
      </w:r>
      <w:r w:rsidRPr="00974B41">
        <w:rPr>
          <w:rFonts w:ascii="IBM Plex Sans" w:eastAsia="IBM Plex Sans" w:hAnsi="IBM Plex Sans" w:cs="IBM Plex Sans"/>
          <w:color w:val="000000"/>
          <w:lang w:val="es-ES"/>
        </w:rPr>
        <w:t xml:space="preserve"> profesionales de las políticas de juventud y la Administración. Todos </w:t>
      </w:r>
      <w:r w:rsidR="00CA3973">
        <w:rPr>
          <w:rFonts w:ascii="IBM Plex Sans" w:eastAsia="IBM Plex Sans" w:hAnsi="IBM Plex Sans" w:cs="IBM Plex Sans"/>
          <w:color w:val="000000"/>
          <w:lang w:val="es-ES"/>
        </w:rPr>
        <w:t>estos actores y actoras</w:t>
      </w:r>
      <w:r w:rsidR="003F0131">
        <w:rPr>
          <w:rFonts w:ascii="IBM Plex Sans" w:eastAsia="IBM Plex Sans" w:hAnsi="IBM Plex Sans" w:cs="IBM Plex Sans"/>
          <w:color w:val="000000"/>
          <w:lang w:val="es-ES"/>
        </w:rPr>
        <w:t xml:space="preserve"> involucrados</w:t>
      </w:r>
      <w:r w:rsidR="00D51877"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 xml:space="preserve">trabajan y se interrelacionan de manera organizada para permitir el funcionamiento efectivo de la estrategia, y constituirla como lo que es, un sistema organizado. </w:t>
      </w:r>
    </w:p>
    <w:p w14:paraId="5004BD59" w14:textId="10AACEF3" w:rsidR="00FE5F65" w:rsidRPr="00974B41" w:rsidRDefault="00617248">
      <w:pPr>
        <w:widowControl w:val="0"/>
        <w:numPr>
          <w:ilvl w:val="0"/>
          <w:numId w:val="13"/>
        </w:numPr>
        <w:spacing w:after="0" w:line="269" w:lineRule="auto"/>
        <w:jc w:val="both"/>
        <w:rPr>
          <w:rFonts w:ascii="Calibri" w:eastAsia="Calibri" w:hAnsi="Calibri" w:cs="Calibri"/>
          <w:color w:val="000000"/>
          <w:lang w:val="es-ES"/>
        </w:rPr>
      </w:pPr>
      <w:r w:rsidRPr="00974B41">
        <w:rPr>
          <w:rFonts w:ascii="IBM Plex Sans" w:eastAsia="IBM Plex Sans" w:hAnsi="IBM Plex Sans" w:cs="IBM Plex Sans"/>
          <w:color w:val="000000"/>
          <w:lang w:val="es-ES"/>
        </w:rPr>
        <w:t>Es importante indicar que El Plan Joven del 2021 al 2024 del Ayuntamiento de Borriol es una herramienta municipal que recoge el conjunto de actuaciones plurianuales integradas en la EVJ y que</w:t>
      </w:r>
      <w:r w:rsidR="00893B79">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además</w:t>
      </w:r>
      <w:r w:rsidR="00893B79">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muestra antecedentes importantes en cuanto a caracterización y percepción de la juventud; ocupación, formación y vivienda; equipamientos, espacio público y movilidad; igualdad y diversidad; ocio y tiempo libre; participación juvenil y gestión comunitaria. </w:t>
      </w:r>
    </w:p>
    <w:p w14:paraId="60E0D952" w14:textId="5F90ABA7" w:rsidR="00FE5F65" w:rsidRPr="00974B41" w:rsidRDefault="00617248">
      <w:pPr>
        <w:widowControl w:val="0"/>
        <w:numPr>
          <w:ilvl w:val="0"/>
          <w:numId w:val="13"/>
        </w:numPr>
        <w:spacing w:after="0" w:line="269"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También es importante resaltar que este proyecto nace de la necesidad detectada como una preocupación de los jóvenes de Borriol por la</w:t>
      </w:r>
      <w:r w:rsidR="001824EA">
        <w:rPr>
          <w:rFonts w:ascii="IBM Plex Sans" w:eastAsia="IBM Plex Sans" w:hAnsi="IBM Plex Sans" w:cs="IBM Plex Sans"/>
          <w:color w:val="000000"/>
          <w:lang w:val="es-ES"/>
        </w:rPr>
        <w:t>s cuestiones relacionadas con la</w:t>
      </w:r>
      <w:r w:rsidRPr="00974B41">
        <w:rPr>
          <w:rFonts w:ascii="IBM Plex Sans" w:eastAsia="IBM Plex Sans" w:hAnsi="IBM Plex Sans" w:cs="IBM Plex Sans"/>
          <w:color w:val="000000"/>
          <w:lang w:val="es-ES"/>
        </w:rPr>
        <w:t xml:space="preserve"> sostenibilidad de su comunidad, entendida desde una perspectiva amplia. En la edición 2021</w:t>
      </w:r>
      <w:r w:rsidR="009B7948">
        <w:rPr>
          <w:rFonts w:ascii="IBM Plex Sans" w:eastAsia="IBM Plex Sans" w:hAnsi="IBM Plex Sans" w:cs="IBM Plex Sans"/>
          <w:color w:val="000000"/>
          <w:lang w:val="es-ES"/>
        </w:rPr>
        <w:t>, algunos</w:t>
      </w:r>
      <w:r w:rsidRPr="00974B41">
        <w:rPr>
          <w:rFonts w:ascii="IBM Plex Sans" w:eastAsia="IBM Plex Sans" w:hAnsi="IBM Plex Sans" w:cs="IBM Plex Sans"/>
          <w:color w:val="000000"/>
          <w:lang w:val="es-ES"/>
        </w:rPr>
        <w:t xml:space="preserve"> alumnos de la UJI, concretamente del Máster Universitario en Psicopedagogía, realizaron un diagnóstico social participativo (Aguirre et al., 2018) </w:t>
      </w:r>
      <w:r w:rsidR="009B7948" w:rsidRPr="00142BE0">
        <w:rPr>
          <w:rFonts w:ascii="IBM Plex Sans" w:eastAsia="IBM Plex Sans" w:hAnsi="IBM Plex Sans" w:cs="IBM Plex Sans"/>
          <w:color w:val="000000"/>
          <w:lang w:val="es-ES"/>
        </w:rPr>
        <w:t xml:space="preserve">junto a la </w:t>
      </w:r>
      <w:proofErr w:type="spellStart"/>
      <w:r w:rsidR="009B7948" w:rsidRPr="00142BE0">
        <w:rPr>
          <w:rFonts w:ascii="IBM Plex Sans" w:eastAsia="IBM Plex Sans" w:hAnsi="IBM Plex Sans" w:cs="IBM Plex Sans"/>
          <w:color w:val="000000"/>
          <w:lang w:val="es-ES"/>
        </w:rPr>
        <w:t>Xarxa</w:t>
      </w:r>
      <w:proofErr w:type="spellEnd"/>
      <w:r w:rsidR="009B7948" w:rsidRPr="00142BE0">
        <w:rPr>
          <w:rFonts w:ascii="IBM Plex Sans" w:eastAsia="IBM Plex Sans" w:hAnsi="IBM Plex Sans" w:cs="IBM Plex Sans"/>
          <w:color w:val="000000"/>
          <w:lang w:val="es-ES"/>
        </w:rPr>
        <w:t xml:space="preserve"> Jove de Borriol</w:t>
      </w:r>
      <w:r w:rsidR="00E476F5">
        <w:rPr>
          <w:rFonts w:ascii="IBM Plex Sans" w:eastAsia="IBM Plex Sans" w:hAnsi="IBM Plex Sans" w:cs="IBM Plex Sans"/>
          <w:color w:val="000000"/>
          <w:lang w:val="es-ES"/>
        </w:rPr>
        <w:t>,</w:t>
      </w:r>
      <w:r w:rsidR="009B7948" w:rsidRPr="009B7948">
        <w:rPr>
          <w:rFonts w:ascii="IBM Plex Sans" w:eastAsia="IBM Plex Sans" w:hAnsi="IBM Plex Sans" w:cs="IBM Plex Sans"/>
          <w:color w:val="000000"/>
          <w:lang w:val="es-ES"/>
        </w:rPr>
        <w:t xml:space="preserve"> </w:t>
      </w:r>
      <w:r w:rsidR="00E476F5">
        <w:rPr>
          <w:rFonts w:ascii="IBM Plex Sans" w:eastAsia="IBM Plex Sans" w:hAnsi="IBM Plex Sans" w:cs="IBM Plex Sans"/>
          <w:color w:val="000000"/>
          <w:lang w:val="es-ES"/>
        </w:rPr>
        <w:t>m</w:t>
      </w:r>
      <w:r w:rsidR="00E476F5" w:rsidRPr="004A720D">
        <w:rPr>
          <w:rFonts w:ascii="IBM Plex Sans" w:eastAsia="IBM Plex Sans" w:hAnsi="IBM Plex Sans" w:cs="IBM Plex Sans"/>
          <w:color w:val="000000"/>
          <w:lang w:val="es-ES"/>
        </w:rPr>
        <w:t>ediante la metodología de APS (aprendizaje-servicio)</w:t>
      </w:r>
      <w:r w:rsidR="00E476F5">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 xml:space="preserve">con el propósito de </w:t>
      </w:r>
      <w:r w:rsidR="002E73A8">
        <w:rPr>
          <w:rFonts w:ascii="IBM Plex Sans" w:eastAsia="IBM Plex Sans" w:hAnsi="IBM Plex Sans" w:cs="IBM Plex Sans"/>
          <w:color w:val="000000"/>
          <w:lang w:val="es-ES"/>
        </w:rPr>
        <w:t>sondear</w:t>
      </w:r>
      <w:r w:rsidR="002E73A8"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 xml:space="preserve">los temas que más les interesaban a los jóvenes de ese municipio. </w:t>
      </w:r>
      <w:r w:rsidRPr="00974B41">
        <w:rPr>
          <w:rFonts w:ascii="IBM Plex Sans" w:eastAsia="IBM Plex Sans" w:hAnsi="IBM Plex Sans" w:cs="IBM Plex Sans"/>
          <w:color w:val="000000"/>
          <w:lang w:val="es-ES"/>
        </w:rPr>
        <w:lastRenderedPageBreak/>
        <w:t xml:space="preserve">De esta forma, este colectivo manifestó la necesidad de trabajar en la línea de la sostenibilidad y la aplicación de los objetivos de desarrollo sostenible (ODS) en su localidad. </w:t>
      </w:r>
    </w:p>
    <w:p w14:paraId="2CFDFE66" w14:textId="77777777" w:rsidR="00FE5F65" w:rsidRPr="00974B41" w:rsidRDefault="00FE5F65">
      <w:pPr>
        <w:widowControl w:val="0"/>
        <w:shd w:val="clear" w:color="auto" w:fill="FFFFFF"/>
        <w:tabs>
          <w:tab w:val="left" w:pos="478"/>
        </w:tabs>
        <w:spacing w:before="60" w:after="60" w:line="240" w:lineRule="auto"/>
        <w:ind w:firstLine="425"/>
        <w:jc w:val="both"/>
        <w:rPr>
          <w:rFonts w:ascii="IBM Plex Sans" w:eastAsia="IBM Plex Sans" w:hAnsi="IBM Plex Sans" w:cs="IBM Plex Sans"/>
          <w:color w:val="000000"/>
          <w:lang w:val="es-ES"/>
        </w:rPr>
      </w:pPr>
    </w:p>
    <w:p w14:paraId="27156034" w14:textId="04EC1966" w:rsidR="00FE5F65" w:rsidRPr="00974B41" w:rsidRDefault="00347DD1">
      <w:pPr>
        <w:spacing w:before="200" w:after="0" w:line="276" w:lineRule="auto"/>
        <w:jc w:val="both"/>
        <w:rPr>
          <w:rFonts w:ascii="IBM Plex Sans" w:eastAsia="IBM Plex Sans" w:hAnsi="IBM Plex Sans" w:cs="IBM Plex Sans"/>
          <w:color w:val="000000"/>
          <w:lang w:val="es-ES"/>
        </w:rPr>
      </w:pPr>
      <w:r w:rsidRPr="00347DD1">
        <w:rPr>
          <w:rFonts w:ascii="IBM Plex Sans" w:eastAsia="IBM Plex Sans" w:hAnsi="IBM Plex Sans" w:cs="IBM Plex Sans"/>
          <w:color w:val="000000"/>
          <w:lang w:val="es-ES"/>
        </w:rPr>
        <w:t>Con relación al</w:t>
      </w:r>
      <w:r w:rsidR="00617248" w:rsidRPr="00974B41">
        <w:rPr>
          <w:rFonts w:ascii="IBM Plex Sans" w:eastAsia="IBM Plex Sans" w:hAnsi="IBM Plex Sans" w:cs="IBM Plex Sans"/>
          <w:color w:val="000000"/>
          <w:lang w:val="es-ES"/>
        </w:rPr>
        <w:t xml:space="preserve"> territorio</w:t>
      </w:r>
      <w:r w:rsidR="00D07C79">
        <w:rPr>
          <w:rFonts w:ascii="IBM Plex Sans" w:eastAsia="IBM Plex Sans" w:hAnsi="IBM Plex Sans" w:cs="IBM Plex Sans"/>
          <w:color w:val="000000"/>
          <w:lang w:val="es-ES"/>
        </w:rPr>
        <w:t>,</w:t>
      </w:r>
      <w:r w:rsidR="00617248" w:rsidRPr="00974B41">
        <w:rPr>
          <w:rFonts w:ascii="IBM Plex Sans" w:eastAsia="IBM Plex Sans" w:hAnsi="IBM Plex Sans" w:cs="IBM Plex Sans"/>
          <w:color w:val="000000"/>
          <w:lang w:val="es-ES"/>
        </w:rPr>
        <w:t xml:space="preserve"> hay que considerar que Borriol es un municipio de la </w:t>
      </w:r>
      <w:proofErr w:type="spellStart"/>
      <w:r w:rsidR="00617248" w:rsidRPr="00974B41">
        <w:rPr>
          <w:rFonts w:ascii="IBM Plex Sans" w:eastAsia="IBM Plex Sans" w:hAnsi="IBM Plex Sans" w:cs="IBM Plex Sans"/>
          <w:color w:val="000000"/>
          <w:lang w:val="es-ES"/>
        </w:rPr>
        <w:t>Comunitat</w:t>
      </w:r>
      <w:proofErr w:type="spellEnd"/>
      <w:r w:rsidR="00617248" w:rsidRPr="00974B41">
        <w:rPr>
          <w:rFonts w:ascii="IBM Plex Sans" w:eastAsia="IBM Plex Sans" w:hAnsi="IBM Plex Sans" w:cs="IBM Plex Sans"/>
          <w:color w:val="000000"/>
          <w:lang w:val="es-ES"/>
        </w:rPr>
        <w:t xml:space="preserve"> Valenciana (España), que está situado en la provincia de Castellón, en la comarca de la Plana Alta. Cuenta con 5.806 habitantes y con un porcentaje de jóvenes de entre 12-30 años del 22,23%. La población se distribuye en 12 zonas: una principal y más habitada y once zonas más, con diferentes densidades poblacionales que conforman los núcleos diseminados del municipio.</w:t>
      </w:r>
    </w:p>
    <w:p w14:paraId="7A1879DD" w14:textId="77777777" w:rsidR="00FE5F65" w:rsidRPr="00974B41" w:rsidRDefault="00617248">
      <w:pPr>
        <w:spacing w:before="200"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El ámbito de influencia del proyecto es cultural, educativo, social, laboral, comunitario, deportivo y de promoción de hábitos saludables principalmente, promoviendo la participación juvenil en todos los ámbitos especificados.  </w:t>
      </w:r>
    </w:p>
    <w:p w14:paraId="1807FE5C" w14:textId="70971CEB" w:rsidR="00FE5F65" w:rsidRPr="00974B41" w:rsidRDefault="00617248">
      <w:pPr>
        <w:spacing w:before="200"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El objetivo general del proyecto ha sido: </w:t>
      </w:r>
      <w:r w:rsidR="00907401">
        <w:rPr>
          <w:rFonts w:ascii="IBM Plex Sans" w:eastAsia="IBM Plex Sans" w:hAnsi="IBM Plex Sans" w:cs="IBM Plex Sans"/>
          <w:color w:val="000000"/>
          <w:lang w:val="es-ES"/>
        </w:rPr>
        <w:t>P</w:t>
      </w:r>
      <w:r w:rsidRPr="00974B41">
        <w:rPr>
          <w:rFonts w:ascii="IBM Plex Sans" w:eastAsia="IBM Plex Sans" w:hAnsi="IBM Plex Sans" w:cs="IBM Plex Sans"/>
          <w:color w:val="000000"/>
          <w:lang w:val="es-ES"/>
        </w:rPr>
        <w:t>romover el desarrollo y la cultura de participación juvenil arraigada a las raíces y patrimonio del entorno local</w:t>
      </w:r>
      <w:r w:rsidR="00857DA6">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y su vinculación con los ODS para garantizar la sostenibilidad y el bienestar de la población de Borriol.</w:t>
      </w:r>
    </w:p>
    <w:p w14:paraId="05B5D8A1" w14:textId="703D4C6B" w:rsidR="00FE5F65" w:rsidRPr="00974B41" w:rsidRDefault="00617248">
      <w:pPr>
        <w:spacing w:before="200"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En concreto</w:t>
      </w:r>
      <w:r w:rsidR="00857DA6">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están participando </w:t>
      </w:r>
      <w:r w:rsidR="00576878">
        <w:rPr>
          <w:rFonts w:ascii="IBM Plex Sans" w:eastAsia="IBM Plex Sans" w:hAnsi="IBM Plex Sans" w:cs="IBM Plex Sans"/>
          <w:color w:val="000000"/>
          <w:lang w:val="es-ES"/>
        </w:rPr>
        <w:t xml:space="preserve">en el </w:t>
      </w:r>
      <w:r w:rsidRPr="00974B41">
        <w:rPr>
          <w:rFonts w:ascii="IBM Plex Sans" w:eastAsia="IBM Plex Sans" w:hAnsi="IBM Plex Sans" w:cs="IBM Plex Sans"/>
          <w:color w:val="000000"/>
          <w:lang w:val="es-ES"/>
        </w:rPr>
        <w:t>Proyecto las siguientes entidades:</w:t>
      </w:r>
    </w:p>
    <w:p w14:paraId="2C445DB9" w14:textId="77777777" w:rsidR="00FE5F65" w:rsidRPr="00974B41" w:rsidRDefault="00617248">
      <w:pPr>
        <w:numPr>
          <w:ilvl w:val="0"/>
          <w:numId w:val="6"/>
        </w:numPr>
        <w:spacing w:before="200"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Programa de Municipalización de las Políticas de Juventud. </w:t>
      </w:r>
      <w:proofErr w:type="spellStart"/>
      <w:r w:rsidRPr="00974B41">
        <w:rPr>
          <w:rFonts w:ascii="IBM Plex Sans" w:eastAsia="IBM Plex Sans" w:hAnsi="IBM Plex Sans" w:cs="IBM Plex Sans"/>
          <w:color w:val="000000"/>
          <w:lang w:val="es-ES"/>
        </w:rPr>
        <w:t>Xarxa</w:t>
      </w:r>
      <w:proofErr w:type="spellEnd"/>
      <w:r w:rsidRPr="00974B41">
        <w:rPr>
          <w:rFonts w:ascii="IBM Plex Sans" w:eastAsia="IBM Plex Sans" w:hAnsi="IBM Plex Sans" w:cs="IBM Plex Sans"/>
          <w:color w:val="000000"/>
          <w:lang w:val="es-ES"/>
        </w:rPr>
        <w:t xml:space="preserve"> Jove Borriol. </w:t>
      </w:r>
    </w:p>
    <w:p w14:paraId="55CC55C0" w14:textId="77777777" w:rsidR="00FE5F65" w:rsidRPr="00974B41" w:rsidRDefault="00617248">
      <w:pPr>
        <w:numPr>
          <w:ilvl w:val="0"/>
          <w:numId w:val="6"/>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Departamento de Pedagogía y Didáctica de las Ciencias Sociales, la Lengua y la Literatura. Máster Universitario en Psicopedagogía. UJI.</w:t>
      </w:r>
    </w:p>
    <w:p w14:paraId="1B0294E6" w14:textId="77777777" w:rsidR="00FE5F65" w:rsidRPr="00974B41" w:rsidRDefault="00617248">
      <w:pPr>
        <w:numPr>
          <w:ilvl w:val="0"/>
          <w:numId w:val="6"/>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Departamento de Ciencias Agrarias y del Medio Ambiente. Grado de Ingeniería Agroalimentaria y del Medio Rural (mediante un APS en la asignatura: Jardinería, Cultivos Ornamentales e Ingeniería de las Áreas Verdes). UJI.</w:t>
      </w:r>
    </w:p>
    <w:p w14:paraId="4D16EF7B" w14:textId="77777777" w:rsidR="00FE5F65" w:rsidRPr="00974B41" w:rsidRDefault="00617248">
      <w:pPr>
        <w:numPr>
          <w:ilvl w:val="0"/>
          <w:numId w:val="6"/>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Grupo de Investigación: Innovación, Desarrollo y Evaluación de competencias en educación (IDOCE). UJI.</w:t>
      </w:r>
    </w:p>
    <w:p w14:paraId="03EE16CE" w14:textId="77777777" w:rsidR="00FE5F65" w:rsidRPr="00974B41" w:rsidRDefault="00617248">
      <w:pPr>
        <w:numPr>
          <w:ilvl w:val="0"/>
          <w:numId w:val="6"/>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Grupo de Investigación: Mejora Educativa y Ciudadanía Crítica (MEICRI). UJI.</w:t>
      </w:r>
    </w:p>
    <w:p w14:paraId="5FED9D7F" w14:textId="77777777" w:rsidR="00FE5F65" w:rsidRPr="00974B41" w:rsidRDefault="00617248">
      <w:pPr>
        <w:numPr>
          <w:ilvl w:val="0"/>
          <w:numId w:val="6"/>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CEFIRE: Centros de Formación, Innovación y Recursos educativos de la Comunidad Valenciana.</w:t>
      </w:r>
    </w:p>
    <w:p w14:paraId="39C007F9" w14:textId="77777777" w:rsidR="00FE5F65" w:rsidRPr="00974B41" w:rsidRDefault="00617248">
      <w:pPr>
        <w:numPr>
          <w:ilvl w:val="0"/>
          <w:numId w:val="6"/>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SES BORRIOL-BOVALAR. Sección de Educación Secundaria del IES </w:t>
      </w:r>
      <w:proofErr w:type="spellStart"/>
      <w:r w:rsidRPr="00974B41">
        <w:rPr>
          <w:rFonts w:ascii="IBM Plex Sans" w:eastAsia="IBM Plex Sans" w:hAnsi="IBM Plex Sans" w:cs="IBM Plex Sans"/>
          <w:color w:val="000000"/>
          <w:lang w:val="es-ES"/>
        </w:rPr>
        <w:t>Bovalar</w:t>
      </w:r>
      <w:proofErr w:type="spellEnd"/>
      <w:r w:rsidRPr="00974B41">
        <w:rPr>
          <w:rFonts w:ascii="IBM Plex Sans" w:eastAsia="IBM Plex Sans" w:hAnsi="IBM Plex Sans" w:cs="IBM Plex Sans"/>
          <w:color w:val="000000"/>
          <w:lang w:val="es-ES"/>
        </w:rPr>
        <w:t xml:space="preserve"> en Borriol </w:t>
      </w:r>
    </w:p>
    <w:p w14:paraId="16FEB872" w14:textId="77777777" w:rsidR="00FE5F65" w:rsidRPr="00974B41" w:rsidRDefault="00617248">
      <w:pPr>
        <w:numPr>
          <w:ilvl w:val="0"/>
          <w:numId w:val="6"/>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CEIP </w:t>
      </w:r>
      <w:proofErr w:type="spellStart"/>
      <w:r w:rsidRPr="00974B41">
        <w:rPr>
          <w:rFonts w:ascii="IBM Plex Sans" w:eastAsia="IBM Plex Sans" w:hAnsi="IBM Plex Sans" w:cs="IBM Plex Sans"/>
          <w:color w:val="000000"/>
          <w:lang w:val="es-ES"/>
        </w:rPr>
        <w:t>L’Hereu</w:t>
      </w:r>
      <w:proofErr w:type="spellEnd"/>
      <w:r w:rsidRPr="00974B41">
        <w:rPr>
          <w:rFonts w:ascii="IBM Plex Sans" w:eastAsia="IBM Plex Sans" w:hAnsi="IBM Plex Sans" w:cs="IBM Plex Sans"/>
          <w:color w:val="000000"/>
          <w:lang w:val="es-ES"/>
        </w:rPr>
        <w:t xml:space="preserve"> (Colegio Público de Infantil y Primaria).</w:t>
      </w:r>
    </w:p>
    <w:p w14:paraId="44F6B0D9" w14:textId="574031E4" w:rsidR="00FE5F65" w:rsidRPr="00974B41" w:rsidRDefault="00617248">
      <w:pPr>
        <w:spacing w:before="200"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En este proyecto se desarrollaron diversas intervenciones</w:t>
      </w:r>
      <w:r w:rsidR="009F6A85">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w:t>
      </w:r>
      <w:r w:rsidR="009F6A85">
        <w:rPr>
          <w:rFonts w:ascii="IBM Plex Sans" w:eastAsia="IBM Plex Sans" w:hAnsi="IBM Plex Sans" w:cs="IBM Plex Sans"/>
          <w:color w:val="000000"/>
          <w:lang w:val="es-ES"/>
        </w:rPr>
        <w:t>A</w:t>
      </w:r>
      <w:r w:rsidRPr="00974B41">
        <w:rPr>
          <w:rFonts w:ascii="IBM Plex Sans" w:eastAsia="IBM Plex Sans" w:hAnsi="IBM Plex Sans" w:cs="IBM Plex Sans"/>
          <w:color w:val="000000"/>
          <w:lang w:val="es-ES"/>
        </w:rPr>
        <w:t xml:space="preserve"> continuación, se presenta cada una de ellas, el impacto que han tenido y las herramientas digitales han apoyado la ejecución de la tarea. Se han marcado con negritas las herramientas utilizadas. </w:t>
      </w:r>
    </w:p>
    <w:p w14:paraId="1ABC9670" w14:textId="6E20B3DB" w:rsidR="00FE5F65" w:rsidRPr="00974B41" w:rsidRDefault="00617248">
      <w:pPr>
        <w:numPr>
          <w:ilvl w:val="0"/>
          <w:numId w:val="2"/>
        </w:numPr>
        <w:spacing w:before="200" w:after="0" w:line="276" w:lineRule="auto"/>
        <w:jc w:val="both"/>
        <w:rPr>
          <w:rFonts w:ascii="IBM Plex Sans" w:eastAsia="IBM Plex Sans" w:hAnsi="IBM Plex Sans" w:cs="IBM Plex Sans"/>
          <w:color w:val="1C1C1C"/>
          <w:lang w:val="es-ES"/>
        </w:rPr>
      </w:pPr>
      <w:r w:rsidRPr="00974B41">
        <w:rPr>
          <w:rFonts w:ascii="IBM Plex Sans" w:eastAsia="IBM Plex Sans" w:hAnsi="IBM Plex Sans" w:cs="IBM Plex Sans"/>
          <w:color w:val="000000"/>
          <w:lang w:val="es-ES"/>
        </w:rPr>
        <w:t xml:space="preserve">Talleres </w:t>
      </w:r>
      <w:r w:rsidR="00A56C66">
        <w:rPr>
          <w:rFonts w:ascii="IBM Plex Sans" w:eastAsia="IBM Plex Sans" w:hAnsi="IBM Plex Sans" w:cs="IBM Plex Sans"/>
          <w:color w:val="000000"/>
          <w:lang w:val="es-ES"/>
        </w:rPr>
        <w:t xml:space="preserve">de sensibilización </w:t>
      </w:r>
      <w:r w:rsidRPr="00974B41">
        <w:rPr>
          <w:rFonts w:ascii="IBM Plex Sans" w:eastAsia="IBM Plex Sans" w:hAnsi="IBM Plex Sans" w:cs="IBM Plex Sans"/>
          <w:color w:val="000000"/>
          <w:lang w:val="es-ES"/>
        </w:rPr>
        <w:t>con alumnos de secundaria durante la sesión de tutorización de una hora de 2.º a 4.º</w:t>
      </w:r>
      <w:r w:rsidR="00CC5873">
        <w:rPr>
          <w:rFonts w:ascii="IBM Plex Sans" w:eastAsia="IBM Plex Sans" w:hAnsi="IBM Plex Sans" w:cs="IBM Plex Sans"/>
          <w:color w:val="000000"/>
          <w:lang w:val="es-ES"/>
        </w:rPr>
        <w:t xml:space="preserve"> de la ESO</w:t>
      </w:r>
      <w:r w:rsidRPr="00974B41">
        <w:rPr>
          <w:rFonts w:ascii="IBM Plex Sans" w:eastAsia="IBM Plex Sans" w:hAnsi="IBM Plex Sans" w:cs="IBM Plex Sans"/>
          <w:color w:val="000000"/>
          <w:lang w:val="es-ES"/>
        </w:rPr>
        <w:t>. Participaron 160 estudiantes (60% del total). Se destaca que el número</w:t>
      </w:r>
      <w:r w:rsidR="00CB303E">
        <w:rPr>
          <w:rFonts w:ascii="IBM Plex Sans" w:eastAsia="IBM Plex Sans" w:hAnsi="IBM Plex Sans" w:cs="IBM Plex Sans"/>
          <w:color w:val="000000"/>
          <w:lang w:val="es-ES"/>
        </w:rPr>
        <w:t xml:space="preserve"> total</w:t>
      </w:r>
      <w:r w:rsidRPr="00974B41">
        <w:rPr>
          <w:rFonts w:ascii="IBM Plex Sans" w:eastAsia="IBM Plex Sans" w:hAnsi="IBM Plex Sans" w:cs="IBM Plex Sans"/>
          <w:color w:val="000000"/>
          <w:lang w:val="es-ES"/>
        </w:rPr>
        <w:t xml:space="preserve"> de ideas surgidas desde los jóvenes durante las sesiones sobre cómo implementar los ODS en su pueblo han sido de 53. En estas actividades realizadas se destaca </w:t>
      </w:r>
      <w:r w:rsidRPr="00974B41">
        <w:rPr>
          <w:rFonts w:ascii="IBM Plex Sans" w:eastAsia="IBM Plex Sans" w:hAnsi="IBM Plex Sans" w:cs="IBM Plex Sans"/>
          <w:color w:val="000000"/>
          <w:lang w:val="es-ES"/>
        </w:rPr>
        <w:lastRenderedPageBreak/>
        <w:t xml:space="preserve">la importancia de escuchar sus relatos, trabajar desde el respeto, la escucha activa y dar una voz real a los jóvenes dentro del proyecto. </w:t>
      </w:r>
    </w:p>
    <w:p w14:paraId="4FE40327" w14:textId="3FEE3F31" w:rsidR="00FE5F65" w:rsidRPr="00974B41" w:rsidRDefault="00617248">
      <w:pPr>
        <w:numPr>
          <w:ilvl w:val="1"/>
          <w:numId w:val="6"/>
        </w:numPr>
        <w:spacing w:after="0" w:line="276" w:lineRule="auto"/>
        <w:jc w:val="both"/>
        <w:rPr>
          <w:rFonts w:ascii="Calibri" w:eastAsia="Calibri" w:hAnsi="Calibri" w:cs="Calibri"/>
          <w:color w:val="1C1C1C"/>
          <w:lang w:val="es-ES"/>
        </w:rPr>
      </w:pPr>
      <w:r w:rsidRPr="00974B41">
        <w:rPr>
          <w:rFonts w:ascii="IBM Plex Sans" w:eastAsia="IBM Plex Sans" w:hAnsi="IBM Plex Sans" w:cs="IBM Plex Sans"/>
          <w:color w:val="000000"/>
          <w:lang w:val="es-ES"/>
        </w:rPr>
        <w:t xml:space="preserve">Cada una de estas sesiones </w:t>
      </w:r>
      <w:r w:rsidR="00795A53">
        <w:rPr>
          <w:rFonts w:ascii="IBM Plex Sans" w:eastAsia="IBM Plex Sans" w:hAnsi="IBM Plex Sans" w:cs="IBM Plex Sans"/>
          <w:color w:val="000000"/>
          <w:lang w:val="es-ES"/>
        </w:rPr>
        <w:t>fueron</w:t>
      </w:r>
      <w:r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b/>
          <w:color w:val="000000"/>
          <w:lang w:val="es-ES"/>
        </w:rPr>
        <w:t>grabad</w:t>
      </w:r>
      <w:r w:rsidR="00795A53">
        <w:rPr>
          <w:rFonts w:ascii="IBM Plex Sans" w:eastAsia="IBM Plex Sans" w:hAnsi="IBM Plex Sans" w:cs="IBM Plex Sans"/>
          <w:b/>
          <w:color w:val="000000"/>
          <w:lang w:val="es-ES"/>
        </w:rPr>
        <w:t>as</w:t>
      </w:r>
      <w:r w:rsidRPr="00974B41">
        <w:rPr>
          <w:rFonts w:ascii="IBM Plex Sans" w:eastAsia="IBM Plex Sans" w:hAnsi="IBM Plex Sans" w:cs="IBM Plex Sans"/>
          <w:b/>
          <w:color w:val="000000"/>
          <w:lang w:val="es-ES"/>
        </w:rPr>
        <w:t xml:space="preserve"> con recursos digitales</w:t>
      </w:r>
      <w:r w:rsidR="00A56A1C">
        <w:rPr>
          <w:rFonts w:ascii="IBM Plex Sans" w:eastAsia="IBM Plex Sans" w:hAnsi="IBM Plex Sans" w:cs="IBM Plex Sans"/>
          <w:color w:val="000000"/>
          <w:lang w:val="es-ES"/>
        </w:rPr>
        <w:t>. S</w:t>
      </w:r>
      <w:r w:rsidRPr="00974B41">
        <w:rPr>
          <w:rFonts w:ascii="IBM Plex Sans" w:eastAsia="IBM Plex Sans" w:hAnsi="IBM Plex Sans" w:cs="IBM Plex Sans"/>
          <w:color w:val="000000"/>
          <w:lang w:val="es-ES"/>
        </w:rPr>
        <w:t xml:space="preserve">e </w:t>
      </w:r>
      <w:r w:rsidR="00795A53">
        <w:rPr>
          <w:rFonts w:ascii="IBM Plex Sans" w:eastAsia="IBM Plex Sans" w:hAnsi="IBM Plex Sans" w:cs="IBM Plex Sans"/>
          <w:color w:val="000000"/>
          <w:lang w:val="es-ES"/>
        </w:rPr>
        <w:t xml:space="preserve">usó </w:t>
      </w:r>
      <w:r w:rsidRPr="00974B41">
        <w:rPr>
          <w:rFonts w:ascii="IBM Plex Sans" w:eastAsia="IBM Plex Sans" w:hAnsi="IBM Plex Sans" w:cs="IBM Plex Sans"/>
          <w:color w:val="000000"/>
          <w:lang w:val="es-ES"/>
        </w:rPr>
        <w:t>la grabadora del móvil para registrar la voz</w:t>
      </w:r>
      <w:r w:rsidR="00A56A1C">
        <w:rPr>
          <w:rFonts w:ascii="IBM Plex Sans" w:eastAsia="IBM Plex Sans" w:hAnsi="IBM Plex Sans" w:cs="IBM Plex Sans"/>
          <w:color w:val="000000"/>
          <w:lang w:val="es-ES"/>
        </w:rPr>
        <w:t xml:space="preserve"> c</w:t>
      </w:r>
      <w:r w:rsidRPr="00974B41">
        <w:rPr>
          <w:rFonts w:ascii="IBM Plex Sans" w:eastAsia="IBM Plex Sans" w:hAnsi="IBM Plex Sans" w:cs="IBM Plex Sans"/>
          <w:color w:val="000000"/>
          <w:lang w:val="es-ES"/>
        </w:rPr>
        <w:t>on la única finalidad de poder volver a escuchar las propuestas de los jóvenes. Posteriormente</w:t>
      </w:r>
      <w:r w:rsidR="00A56A1C">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esta se ha volcado en una </w:t>
      </w:r>
      <w:r w:rsidRPr="00974B41">
        <w:rPr>
          <w:rFonts w:ascii="IBM Plex Sans" w:eastAsia="IBM Plex Sans" w:hAnsi="IBM Plex Sans" w:cs="IBM Plex Sans"/>
          <w:b/>
          <w:color w:val="000000"/>
          <w:lang w:val="es-ES"/>
        </w:rPr>
        <w:t>carpeta de Drive</w:t>
      </w:r>
      <w:r w:rsidRPr="00974B41">
        <w:rPr>
          <w:rFonts w:ascii="IBM Plex Sans" w:eastAsia="IBM Plex Sans" w:hAnsi="IBM Plex Sans" w:cs="IBM Plex Sans"/>
          <w:color w:val="000000"/>
          <w:lang w:val="es-ES"/>
        </w:rPr>
        <w:t>. Así</w:t>
      </w:r>
      <w:r w:rsidR="00CF1CC9">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se puede resguardar la información que se ha recogido durante esta investigación.</w:t>
      </w:r>
    </w:p>
    <w:p w14:paraId="7959DF68" w14:textId="77777777" w:rsidR="00FE5F65" w:rsidRPr="00974B41" w:rsidRDefault="00FE5F65">
      <w:pPr>
        <w:spacing w:after="0" w:line="276" w:lineRule="auto"/>
        <w:ind w:left="1440"/>
        <w:jc w:val="both"/>
        <w:rPr>
          <w:rFonts w:ascii="IBM Plex Sans" w:eastAsia="IBM Plex Sans" w:hAnsi="IBM Plex Sans" w:cs="IBM Plex Sans"/>
          <w:color w:val="1C1C1C"/>
          <w:lang w:val="es-ES"/>
        </w:rPr>
      </w:pPr>
    </w:p>
    <w:p w14:paraId="07DC9CBC" w14:textId="05F69484" w:rsidR="00FE5F65" w:rsidRPr="00974B41" w:rsidRDefault="00617248">
      <w:pPr>
        <w:numPr>
          <w:ilvl w:val="0"/>
          <w:numId w:val="6"/>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Además, se les administró un cuestionario de consulta con el objetivo de recoger su percepción y satisfacción </w:t>
      </w:r>
      <w:r w:rsidR="00352FBC" w:rsidRPr="00352FBC">
        <w:rPr>
          <w:rFonts w:ascii="IBM Plex Sans" w:eastAsia="IBM Plex Sans" w:hAnsi="IBM Plex Sans" w:cs="IBM Plex Sans"/>
          <w:color w:val="000000"/>
          <w:lang w:val="es-ES"/>
        </w:rPr>
        <w:t>con relación a</w:t>
      </w:r>
      <w:r w:rsidRPr="00974B41">
        <w:rPr>
          <w:rFonts w:ascii="IBM Plex Sans" w:eastAsia="IBM Plex Sans" w:hAnsi="IBM Plex Sans" w:cs="IBM Plex Sans"/>
          <w:color w:val="000000"/>
          <w:lang w:val="es-ES"/>
        </w:rPr>
        <w:t xml:space="preserve"> la propuesta del proyecto y los resultados de los jóvenes </w:t>
      </w:r>
      <w:r w:rsidR="001429F7">
        <w:rPr>
          <w:rFonts w:ascii="IBM Plex Sans" w:eastAsia="IBM Plex Sans" w:hAnsi="IBM Plex Sans" w:cs="IBM Plex Sans"/>
          <w:color w:val="000000"/>
          <w:lang w:val="es-ES"/>
        </w:rPr>
        <w:t>fueron</w:t>
      </w:r>
      <w:r w:rsidRPr="00974B41">
        <w:rPr>
          <w:rFonts w:ascii="IBM Plex Sans" w:eastAsia="IBM Plex Sans" w:hAnsi="IBM Plex Sans" w:cs="IBM Plex Sans"/>
          <w:color w:val="000000"/>
          <w:lang w:val="es-ES"/>
        </w:rPr>
        <w:t xml:space="preserve"> los siguientes: </w:t>
      </w:r>
    </w:p>
    <w:p w14:paraId="357586D4" w14:textId="77777777" w:rsidR="00FE5F65" w:rsidRPr="00974B41" w:rsidRDefault="00617248">
      <w:pPr>
        <w:numPr>
          <w:ilvl w:val="2"/>
          <w:numId w:val="7"/>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Al 94,1% les parece interesante la actividad de la que han participado.</w:t>
      </w:r>
    </w:p>
    <w:p w14:paraId="78C24522" w14:textId="77777777" w:rsidR="00FE5F65" w:rsidRPr="00974B41" w:rsidRDefault="00617248">
      <w:pPr>
        <w:numPr>
          <w:ilvl w:val="2"/>
          <w:numId w:val="7"/>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Al 88,2% de los participantes les ha permitido reflexionar acerca de los ODS.</w:t>
      </w:r>
    </w:p>
    <w:p w14:paraId="4FE32C8D" w14:textId="77777777" w:rsidR="00FE5F65" w:rsidRPr="00974B41" w:rsidRDefault="00617248">
      <w:pPr>
        <w:numPr>
          <w:ilvl w:val="2"/>
          <w:numId w:val="7"/>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El 94,1% de los participantes son conscientes de que pueden contribuir al cumplimiento de los Objetivos de Desarrollo Sostenible.</w:t>
      </w:r>
    </w:p>
    <w:p w14:paraId="5930F929" w14:textId="77777777" w:rsidR="00FE5F65" w:rsidRPr="00974B41" w:rsidRDefault="00617248">
      <w:pPr>
        <w:numPr>
          <w:ilvl w:val="2"/>
          <w:numId w:val="7"/>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El 82,4% manifiesta interés en seguir creando la ruta de los ODS.</w:t>
      </w:r>
    </w:p>
    <w:p w14:paraId="46D36EDD" w14:textId="77777777" w:rsidR="00FE5F65" w:rsidRPr="00974B41" w:rsidRDefault="00FE5F65">
      <w:pPr>
        <w:spacing w:after="0" w:line="276" w:lineRule="auto"/>
        <w:ind w:left="720"/>
        <w:jc w:val="both"/>
        <w:rPr>
          <w:rFonts w:ascii="IBM Plex Sans" w:eastAsia="IBM Plex Sans" w:hAnsi="IBM Plex Sans" w:cs="IBM Plex Sans"/>
          <w:color w:val="000000"/>
          <w:lang w:val="es-ES"/>
        </w:rPr>
      </w:pPr>
    </w:p>
    <w:p w14:paraId="3850ED60" w14:textId="5FAC3397" w:rsidR="00FE5F65" w:rsidRPr="00974B41" w:rsidRDefault="00617248">
      <w:pPr>
        <w:numPr>
          <w:ilvl w:val="0"/>
          <w:numId w:val="15"/>
        </w:numPr>
        <w:spacing w:after="0" w:line="276" w:lineRule="auto"/>
        <w:jc w:val="both"/>
        <w:rPr>
          <w:color w:val="000000"/>
          <w:lang w:val="es-ES"/>
        </w:rPr>
      </w:pPr>
      <w:r w:rsidRPr="00974B41">
        <w:rPr>
          <w:rFonts w:ascii="IBM Plex Sans" w:eastAsia="IBM Plex Sans" w:hAnsi="IBM Plex Sans" w:cs="IBM Plex Sans"/>
          <w:color w:val="000000"/>
          <w:lang w:val="es-ES"/>
        </w:rPr>
        <w:t xml:space="preserve">Para recoger la información se ha utilizado otra herramienta de Google denominada </w:t>
      </w:r>
      <w:proofErr w:type="spellStart"/>
      <w:r w:rsidRPr="00974B41">
        <w:rPr>
          <w:rFonts w:ascii="IBM Plex Sans" w:eastAsia="IBM Plex Sans" w:hAnsi="IBM Plex Sans" w:cs="IBM Plex Sans"/>
          <w:b/>
          <w:color w:val="000000"/>
          <w:lang w:val="es-ES"/>
        </w:rPr>
        <w:t>Form</w:t>
      </w:r>
      <w:r w:rsidR="007D03FA">
        <w:rPr>
          <w:rFonts w:ascii="IBM Plex Sans" w:eastAsia="IBM Plex Sans" w:hAnsi="IBM Plex Sans" w:cs="IBM Plex Sans"/>
          <w:b/>
          <w:color w:val="000000"/>
          <w:lang w:val="es-ES"/>
        </w:rPr>
        <w:t>s</w:t>
      </w:r>
      <w:proofErr w:type="spellEnd"/>
      <w:r w:rsidRPr="00974B41">
        <w:rPr>
          <w:rFonts w:ascii="IBM Plex Sans" w:eastAsia="IBM Plex Sans" w:hAnsi="IBM Plex Sans" w:cs="IBM Plex Sans"/>
          <w:color w:val="000000"/>
          <w:lang w:val="es-ES"/>
        </w:rPr>
        <w:t>. Esta herramienta permite realizar encuestas o</w:t>
      </w:r>
      <w:r w:rsidR="007D03FA">
        <w:rPr>
          <w:rFonts w:ascii="IBM Plex Sans" w:eastAsia="IBM Plex Sans" w:hAnsi="IBM Plex Sans" w:cs="IBM Plex Sans"/>
          <w:color w:val="000000"/>
          <w:lang w:val="es-ES"/>
        </w:rPr>
        <w:t xml:space="preserve"> formularios que faciliten el proceso de</w:t>
      </w:r>
      <w:r w:rsidRPr="00974B41">
        <w:rPr>
          <w:rFonts w:ascii="IBM Plex Sans" w:eastAsia="IBM Plex Sans" w:hAnsi="IBM Plex Sans" w:cs="IBM Plex Sans"/>
          <w:color w:val="000000"/>
          <w:lang w:val="es-ES"/>
        </w:rPr>
        <w:t xml:space="preserve"> </w:t>
      </w:r>
      <w:r w:rsidR="007D03FA">
        <w:rPr>
          <w:rFonts w:ascii="IBM Plex Sans" w:eastAsia="IBM Plex Sans" w:hAnsi="IBM Plex Sans" w:cs="IBM Plex Sans"/>
          <w:color w:val="000000"/>
          <w:lang w:val="es-ES"/>
        </w:rPr>
        <w:t>recopilación de</w:t>
      </w:r>
      <w:r w:rsidR="007D03FA"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 xml:space="preserve">información para continuar la investigación. </w:t>
      </w:r>
    </w:p>
    <w:p w14:paraId="13AF5498" w14:textId="77777777" w:rsidR="00077E95" w:rsidRPr="00974B41" w:rsidRDefault="00077E95" w:rsidP="00077E95">
      <w:pPr>
        <w:spacing w:after="0" w:line="276" w:lineRule="auto"/>
        <w:ind w:left="1776"/>
        <w:jc w:val="both"/>
        <w:rPr>
          <w:color w:val="000000"/>
          <w:lang w:val="es-ES"/>
        </w:rPr>
      </w:pPr>
    </w:p>
    <w:p w14:paraId="484D0118" w14:textId="77777777" w:rsidR="00FE5F65" w:rsidRPr="00974B41" w:rsidRDefault="00617248">
      <w:pPr>
        <w:numPr>
          <w:ilvl w:val="0"/>
          <w:numId w:val="9"/>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Actividades de sensibilización y comunicación, dirigidas a aumentar la información y el conocimiento por parte de la ciudadanía, en torno a los ODS. Se realizaron tres sesiones en la puerta del ayuntamiento y la plaza del municipio de Borriol. </w:t>
      </w:r>
    </w:p>
    <w:p w14:paraId="4D2FC032" w14:textId="2CA8E8CA" w:rsidR="00FE5F65" w:rsidRPr="00974B41" w:rsidRDefault="00617248">
      <w:pPr>
        <w:numPr>
          <w:ilvl w:val="0"/>
          <w:numId w:val="16"/>
        </w:numPr>
        <w:spacing w:after="0" w:line="276" w:lineRule="auto"/>
        <w:jc w:val="both"/>
        <w:rPr>
          <w:color w:val="000000"/>
          <w:lang w:val="es-ES"/>
        </w:rPr>
      </w:pPr>
      <w:r w:rsidRPr="00974B41">
        <w:rPr>
          <w:rFonts w:ascii="IBM Plex Sans" w:eastAsia="IBM Plex Sans" w:hAnsi="IBM Plex Sans" w:cs="IBM Plex Sans"/>
          <w:color w:val="000000"/>
          <w:lang w:val="es-ES"/>
        </w:rPr>
        <w:t xml:space="preserve">Estas acciones se publicitaron en las </w:t>
      </w:r>
      <w:r w:rsidRPr="00974B41">
        <w:rPr>
          <w:rFonts w:ascii="IBM Plex Sans" w:eastAsia="IBM Plex Sans" w:hAnsi="IBM Plex Sans" w:cs="IBM Plex Sans"/>
          <w:b/>
          <w:color w:val="000000"/>
          <w:lang w:val="es-ES"/>
        </w:rPr>
        <w:t>redes sociales</w:t>
      </w:r>
      <w:r w:rsidRPr="00974B41">
        <w:rPr>
          <w:rFonts w:ascii="IBM Plex Sans" w:eastAsia="IBM Plex Sans" w:hAnsi="IBM Plex Sans" w:cs="IBM Plex Sans"/>
          <w:color w:val="000000"/>
          <w:lang w:val="es-ES"/>
        </w:rPr>
        <w:t xml:space="preserve"> del pueblo</w:t>
      </w:r>
      <w:r w:rsidR="00C771C4">
        <w:rPr>
          <w:rFonts w:ascii="IBM Plex Sans" w:eastAsia="IBM Plex Sans" w:hAnsi="IBM Plex Sans" w:cs="IBM Plex Sans"/>
          <w:color w:val="000000"/>
          <w:lang w:val="es-ES"/>
        </w:rPr>
        <w:t xml:space="preserve"> mediante</w:t>
      </w:r>
      <w:r w:rsidRPr="00974B41">
        <w:rPr>
          <w:rFonts w:ascii="IBM Plex Sans" w:eastAsia="IBM Plex Sans" w:hAnsi="IBM Plex Sans" w:cs="IBM Plex Sans"/>
          <w:color w:val="000000"/>
          <w:lang w:val="es-ES"/>
        </w:rPr>
        <w:t xml:space="preserve"> una </w:t>
      </w:r>
      <w:r w:rsidRPr="00974B41">
        <w:rPr>
          <w:rFonts w:ascii="IBM Plex Sans" w:eastAsia="IBM Plex Sans" w:hAnsi="IBM Plex Sans" w:cs="IBM Plex Sans"/>
          <w:b/>
          <w:color w:val="000000"/>
          <w:lang w:val="es-ES"/>
        </w:rPr>
        <w:t>invitación digital</w:t>
      </w:r>
      <w:r w:rsidR="00C771C4">
        <w:rPr>
          <w:rFonts w:ascii="IBM Plex Sans" w:eastAsia="IBM Plex Sans" w:hAnsi="IBM Plex Sans" w:cs="IBM Plex Sans"/>
          <w:color w:val="000000"/>
          <w:lang w:val="es-ES"/>
        </w:rPr>
        <w:t xml:space="preserve"> generada con</w:t>
      </w:r>
      <w:r w:rsidRPr="00974B41">
        <w:rPr>
          <w:rFonts w:ascii="IBM Plex Sans" w:eastAsia="IBM Plex Sans" w:hAnsi="IBM Plex Sans" w:cs="IBM Plex Sans"/>
          <w:color w:val="000000"/>
          <w:lang w:val="es-ES"/>
        </w:rPr>
        <w:t xml:space="preserve"> la herramienta </w:t>
      </w:r>
      <w:proofErr w:type="spellStart"/>
      <w:r w:rsidRPr="00974B41">
        <w:rPr>
          <w:rFonts w:ascii="IBM Plex Sans" w:eastAsia="IBM Plex Sans" w:hAnsi="IBM Plex Sans" w:cs="IBM Plex Sans"/>
          <w:b/>
          <w:color w:val="000000"/>
          <w:lang w:val="es-ES"/>
        </w:rPr>
        <w:t>Canva</w:t>
      </w:r>
      <w:proofErr w:type="spellEnd"/>
      <w:r w:rsidRPr="00974B41">
        <w:rPr>
          <w:rFonts w:ascii="IBM Plex Sans" w:eastAsia="IBM Plex Sans" w:hAnsi="IBM Plex Sans" w:cs="IBM Plex Sans"/>
          <w:color w:val="000000"/>
          <w:lang w:val="es-ES"/>
        </w:rPr>
        <w:t>.</w:t>
      </w:r>
    </w:p>
    <w:p w14:paraId="3BED2D22" w14:textId="77777777" w:rsidR="00FE5F65" w:rsidRPr="00974B41" w:rsidRDefault="00FE5F65">
      <w:pPr>
        <w:spacing w:after="0" w:line="276" w:lineRule="auto"/>
        <w:ind w:left="720"/>
        <w:jc w:val="both"/>
        <w:rPr>
          <w:rFonts w:ascii="IBM Plex Sans" w:eastAsia="IBM Plex Sans" w:hAnsi="IBM Plex Sans" w:cs="IBM Plex Sans"/>
          <w:color w:val="000000"/>
          <w:lang w:val="es-ES"/>
        </w:rPr>
      </w:pPr>
    </w:p>
    <w:p w14:paraId="14E94B91" w14:textId="38549484" w:rsidR="00FE5F65" w:rsidRPr="00974B41" w:rsidRDefault="00617248">
      <w:pPr>
        <w:numPr>
          <w:ilvl w:val="0"/>
          <w:numId w:val="9"/>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Actividad de mapeo para conocer el territorio y los principales puntos de interés para la implementación del proyecto. Se realizó un mapeo de los puntos preestablecidos por los propios jóvenes</w:t>
      </w:r>
      <w:r w:rsidR="00167716">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resultado de las jornadas de sensibilización</w:t>
      </w:r>
      <w:r w:rsidR="003027C2">
        <w:rPr>
          <w:rFonts w:ascii="IBM Plex Sans" w:eastAsia="IBM Plex Sans" w:hAnsi="IBM Plex Sans" w:cs="IBM Plex Sans"/>
          <w:color w:val="000000"/>
          <w:lang w:val="es-ES"/>
        </w:rPr>
        <w:t>; e</w:t>
      </w:r>
      <w:r w:rsidRPr="00974B41">
        <w:rPr>
          <w:rFonts w:ascii="IBM Plex Sans" w:eastAsia="IBM Plex Sans" w:hAnsi="IBM Plex Sans" w:cs="IBM Plex Sans"/>
          <w:color w:val="000000"/>
          <w:lang w:val="es-ES"/>
        </w:rPr>
        <w:t>n las mismas</w:t>
      </w:r>
      <w:r w:rsidR="003027C2">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se les </w:t>
      </w:r>
      <w:r w:rsidR="003027C2">
        <w:rPr>
          <w:rFonts w:ascii="IBM Plex Sans" w:eastAsia="IBM Plex Sans" w:hAnsi="IBM Plex Sans" w:cs="IBM Plex Sans"/>
          <w:color w:val="000000"/>
          <w:lang w:val="es-ES"/>
        </w:rPr>
        <w:t>hizo</w:t>
      </w:r>
      <w:r w:rsidR="003027C2"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la propuesta de escoger los ODS de mayor interés y en qué punto de la ciudad se situaría la información para dar a conocer el ODS. Las actividades de Mapeo con los jóvenes por el pueblo se realizaron en ocho jornadas. Como producto de esta actividad se obtuvo un mapa de Borriol con los puntos señalados por los jóvenes para hacer la ruta de los ODS.</w:t>
      </w:r>
    </w:p>
    <w:p w14:paraId="5504C7D3" w14:textId="77777777" w:rsidR="00FE5F65" w:rsidRPr="00974B41" w:rsidRDefault="00617248">
      <w:pPr>
        <w:spacing w:before="200" w:after="0" w:line="276" w:lineRule="auto"/>
        <w:jc w:val="center"/>
        <w:rPr>
          <w:rFonts w:ascii="EB Garamond" w:eastAsia="EB Garamond" w:hAnsi="EB Garamond" w:cs="EB Garamond"/>
          <w:color w:val="000000"/>
          <w:sz w:val="20"/>
          <w:szCs w:val="20"/>
          <w:lang w:val="es-ES"/>
        </w:rPr>
      </w:pPr>
      <w:r w:rsidRPr="00974B41">
        <w:rPr>
          <w:rFonts w:ascii="EB Garamond" w:eastAsia="EB Garamond" w:hAnsi="EB Garamond" w:cs="EB Garamond"/>
          <w:noProof/>
          <w:color w:val="000000"/>
          <w:sz w:val="20"/>
          <w:szCs w:val="20"/>
          <w:lang w:val="es-ES"/>
        </w:rPr>
        <w:lastRenderedPageBreak/>
        <w:drawing>
          <wp:inline distT="114300" distB="114300" distL="114300" distR="114300" wp14:anchorId="09A22D8F" wp14:editId="2DBA764E">
            <wp:extent cx="3392358" cy="2938610"/>
            <wp:effectExtent l="0" t="0" r="0" b="0"/>
            <wp:docPr id="3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3392358" cy="2938610"/>
                    </a:xfrm>
                    <a:prstGeom prst="rect">
                      <a:avLst/>
                    </a:prstGeom>
                    <a:ln/>
                  </pic:spPr>
                </pic:pic>
              </a:graphicData>
            </a:graphic>
          </wp:inline>
        </w:drawing>
      </w:r>
    </w:p>
    <w:p w14:paraId="3372D4CD" w14:textId="02C5B177" w:rsidR="00FE5F65" w:rsidRPr="00974B41" w:rsidRDefault="00617248">
      <w:pPr>
        <w:numPr>
          <w:ilvl w:val="0"/>
          <w:numId w:val="17"/>
        </w:numPr>
        <w:spacing w:before="200" w:after="0" w:line="276" w:lineRule="auto"/>
        <w:jc w:val="both"/>
        <w:rPr>
          <w:color w:val="000000"/>
          <w:lang w:val="es-ES"/>
        </w:rPr>
      </w:pPr>
      <w:r w:rsidRPr="00974B41">
        <w:rPr>
          <w:rFonts w:ascii="IBM Plex Sans" w:eastAsia="IBM Plex Sans" w:hAnsi="IBM Plex Sans" w:cs="IBM Plex Sans"/>
          <w:color w:val="000000"/>
          <w:lang w:val="es-ES"/>
        </w:rPr>
        <w:t xml:space="preserve">Para establecer estos puntos fijos del mapa del territorio se utilizó otra herramienta de </w:t>
      </w:r>
      <w:r w:rsidRPr="00974B41">
        <w:rPr>
          <w:rFonts w:ascii="IBM Plex Sans" w:eastAsia="IBM Plex Sans" w:hAnsi="IBM Plex Sans" w:cs="IBM Plex Sans"/>
          <w:b/>
          <w:color w:val="000000"/>
          <w:lang w:val="es-ES"/>
        </w:rPr>
        <w:t xml:space="preserve">Google </w:t>
      </w:r>
      <w:proofErr w:type="spellStart"/>
      <w:r w:rsidRPr="00974B41">
        <w:rPr>
          <w:rFonts w:ascii="IBM Plex Sans" w:eastAsia="IBM Plex Sans" w:hAnsi="IBM Plex Sans" w:cs="IBM Plex Sans"/>
          <w:b/>
          <w:color w:val="000000"/>
          <w:lang w:val="es-ES"/>
        </w:rPr>
        <w:t>Maps</w:t>
      </w:r>
      <w:proofErr w:type="spellEnd"/>
      <w:r w:rsidRPr="00974B41">
        <w:rPr>
          <w:rFonts w:ascii="IBM Plex Sans" w:eastAsia="IBM Plex Sans" w:hAnsi="IBM Plex Sans" w:cs="IBM Plex Sans"/>
          <w:color w:val="000000"/>
          <w:lang w:val="es-ES"/>
        </w:rPr>
        <w:t xml:space="preserve">. Esta nos permite ver mapas de tipo satélite y además utilizar un </w:t>
      </w:r>
      <w:proofErr w:type="spellStart"/>
      <w:r w:rsidRPr="00974B41">
        <w:rPr>
          <w:rFonts w:ascii="IBM Plex Sans" w:eastAsia="IBM Plex Sans" w:hAnsi="IBM Plex Sans" w:cs="IBM Plex Sans"/>
          <w:b/>
          <w:color w:val="000000"/>
          <w:lang w:val="es-ES"/>
        </w:rPr>
        <w:t>geolocalizador</w:t>
      </w:r>
      <w:proofErr w:type="spellEnd"/>
      <w:r w:rsidRPr="00974B41">
        <w:rPr>
          <w:rFonts w:ascii="IBM Plex Sans" w:eastAsia="IBM Plex Sans" w:hAnsi="IBM Plex Sans" w:cs="IBM Plex Sans"/>
          <w:color w:val="000000"/>
          <w:lang w:val="es-ES"/>
        </w:rPr>
        <w:t xml:space="preserve"> mediante la herramienta </w:t>
      </w:r>
      <w:r w:rsidRPr="00974B41">
        <w:rPr>
          <w:rFonts w:ascii="IBM Plex Sans" w:eastAsia="IBM Plex Sans" w:hAnsi="IBM Plex Sans" w:cs="IBM Plex Sans"/>
          <w:b/>
          <w:color w:val="000000"/>
          <w:lang w:val="es-ES"/>
        </w:rPr>
        <w:t>GPS</w:t>
      </w:r>
      <w:r w:rsidRPr="00974B41">
        <w:rPr>
          <w:rFonts w:ascii="IBM Plex Sans" w:eastAsia="IBM Plex Sans" w:hAnsi="IBM Plex Sans" w:cs="IBM Plex Sans"/>
          <w:color w:val="000000"/>
          <w:lang w:val="es-ES"/>
        </w:rPr>
        <w:t xml:space="preserve"> que tiene el móvil.</w:t>
      </w:r>
    </w:p>
    <w:p w14:paraId="575A8C92" w14:textId="77777777" w:rsidR="00FE5F65" w:rsidRPr="00974B41" w:rsidRDefault="00FE5F65">
      <w:pPr>
        <w:spacing w:before="200" w:after="0" w:line="276" w:lineRule="auto"/>
        <w:ind w:left="1776"/>
        <w:jc w:val="both"/>
        <w:rPr>
          <w:rFonts w:ascii="IBM Plex Sans" w:eastAsia="IBM Plex Sans" w:hAnsi="IBM Plex Sans" w:cs="IBM Plex Sans"/>
          <w:color w:val="000000"/>
          <w:lang w:val="es-ES"/>
        </w:rPr>
      </w:pPr>
    </w:p>
    <w:p w14:paraId="47CF9D8C" w14:textId="77777777" w:rsidR="00FE5F65" w:rsidRPr="00974B41" w:rsidRDefault="00617248">
      <w:pPr>
        <w:spacing w:after="0" w:line="276" w:lineRule="auto"/>
        <w:ind w:left="928"/>
        <w:jc w:val="both"/>
        <w:rPr>
          <w:rFonts w:ascii="IBM Plex Sans" w:eastAsia="IBM Plex Sans" w:hAnsi="IBM Plex Sans" w:cs="IBM Plex Sans"/>
          <w:color w:val="000000"/>
          <w:lang w:val="es-ES"/>
        </w:rPr>
      </w:pPr>
      <w:r w:rsidRPr="00974B41">
        <w:rPr>
          <w:rFonts w:ascii="EB Garamond" w:eastAsia="EB Garamond" w:hAnsi="EB Garamond" w:cs="EB Garamond"/>
          <w:noProof/>
          <w:color w:val="000000"/>
          <w:sz w:val="20"/>
          <w:szCs w:val="20"/>
          <w:lang w:val="es-ES"/>
        </w:rPr>
        <w:drawing>
          <wp:inline distT="114300" distB="114300" distL="114300" distR="114300" wp14:anchorId="65596061" wp14:editId="30D36578">
            <wp:extent cx="4824968" cy="3692188"/>
            <wp:effectExtent l="0" t="0" r="0" b="0"/>
            <wp:docPr id="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4824968" cy="3692188"/>
                    </a:xfrm>
                    <a:prstGeom prst="rect">
                      <a:avLst/>
                    </a:prstGeom>
                    <a:ln/>
                  </pic:spPr>
                </pic:pic>
              </a:graphicData>
            </a:graphic>
          </wp:inline>
        </w:drawing>
      </w:r>
    </w:p>
    <w:p w14:paraId="02DBDBE7" w14:textId="02975A2B" w:rsidR="00FE5F65" w:rsidRPr="00974B41" w:rsidRDefault="00617248">
      <w:pPr>
        <w:numPr>
          <w:ilvl w:val="0"/>
          <w:numId w:val="17"/>
        </w:numPr>
        <w:spacing w:after="0" w:line="276" w:lineRule="auto"/>
        <w:jc w:val="both"/>
        <w:rPr>
          <w:rFonts w:ascii="Times New Roman" w:eastAsia="Times New Roman" w:hAnsi="Times New Roman" w:cs="Times New Roman"/>
          <w:color w:val="000000"/>
          <w:lang w:val="es-ES"/>
        </w:rPr>
      </w:pPr>
      <w:r w:rsidRPr="00974B41">
        <w:rPr>
          <w:rFonts w:ascii="IBM Plex Sans" w:eastAsia="IBM Plex Sans" w:hAnsi="IBM Plex Sans" w:cs="IBM Plex Sans"/>
          <w:color w:val="000000"/>
          <w:lang w:val="es-ES"/>
        </w:rPr>
        <w:t xml:space="preserve">Evaluación de las actividades ejecutadas y de los objetivos propuestos. En este apartado se realizó un análisis de todos los datos obtenidos. </w:t>
      </w:r>
      <w:r w:rsidR="00F11B8A">
        <w:rPr>
          <w:rFonts w:ascii="IBM Plex Sans" w:eastAsia="IBM Plex Sans" w:hAnsi="IBM Plex Sans" w:cs="IBM Plex Sans"/>
          <w:color w:val="000000"/>
          <w:lang w:val="es-ES"/>
        </w:rPr>
        <w:t>H</w:t>
      </w:r>
      <w:r w:rsidRPr="00974B41">
        <w:rPr>
          <w:rFonts w:ascii="IBM Plex Sans" w:eastAsia="IBM Plex Sans" w:hAnsi="IBM Plex Sans" w:cs="IBM Plex Sans"/>
          <w:color w:val="000000"/>
          <w:lang w:val="es-ES"/>
        </w:rPr>
        <w:t>emos de reconocer</w:t>
      </w:r>
      <w:r w:rsidR="00F11B8A">
        <w:rPr>
          <w:rFonts w:ascii="IBM Plex Sans" w:eastAsia="IBM Plex Sans" w:hAnsi="IBM Plex Sans" w:cs="IBM Plex Sans"/>
          <w:color w:val="000000"/>
          <w:lang w:val="es-ES"/>
        </w:rPr>
        <w:t>, no obstante,</w:t>
      </w:r>
      <w:r w:rsidRPr="00974B41">
        <w:rPr>
          <w:rFonts w:ascii="IBM Plex Sans" w:eastAsia="IBM Plex Sans" w:hAnsi="IBM Plex Sans" w:cs="IBM Plex Sans"/>
          <w:color w:val="000000"/>
          <w:lang w:val="es-ES"/>
        </w:rPr>
        <w:t xml:space="preserve"> que en todas las actividades ejecutadas se realizaba una valoración </w:t>
      </w:r>
      <w:r w:rsidRPr="00974B41">
        <w:rPr>
          <w:rFonts w:ascii="IBM Plex Sans" w:eastAsia="IBM Plex Sans" w:hAnsi="IBM Plex Sans" w:cs="IBM Plex Sans"/>
          <w:color w:val="000000"/>
          <w:lang w:val="es-ES"/>
        </w:rPr>
        <w:lastRenderedPageBreak/>
        <w:t>en el momento, por si era necesario reorientar la actividad</w:t>
      </w:r>
      <w:r w:rsidR="00F11B8A">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es decir, la evaluación era continua y formativa. En esta última fase se ha realizado una devolución de esta información a todos los implicados mediante talleres con cada colectivo. </w:t>
      </w:r>
    </w:p>
    <w:p w14:paraId="478FF0CE" w14:textId="036AC558" w:rsidR="00FE5F65" w:rsidRPr="00974B41" w:rsidRDefault="00617248">
      <w:pPr>
        <w:numPr>
          <w:ilvl w:val="1"/>
          <w:numId w:val="17"/>
        </w:numPr>
        <w:spacing w:after="0" w:line="276" w:lineRule="auto"/>
        <w:jc w:val="both"/>
        <w:rPr>
          <w:rFonts w:ascii="Times New Roman" w:eastAsia="Times New Roman" w:hAnsi="Times New Roman" w:cs="Times New Roman"/>
          <w:color w:val="000000"/>
          <w:lang w:val="es-ES"/>
        </w:rPr>
      </w:pPr>
      <w:r w:rsidRPr="00974B41">
        <w:rPr>
          <w:rFonts w:ascii="IBM Plex Sans" w:eastAsia="IBM Plex Sans" w:hAnsi="IBM Plex Sans" w:cs="IBM Plex Sans"/>
          <w:color w:val="000000"/>
          <w:lang w:val="es-ES"/>
        </w:rPr>
        <w:t>En este caso eran actividades presenciales y participativas. En algunas de ellas se ha utilizado otra herramienta</w:t>
      </w:r>
      <w:r w:rsidR="0097497C">
        <w:rPr>
          <w:rFonts w:ascii="IBM Plex Sans" w:eastAsia="IBM Plex Sans" w:hAnsi="IBM Plex Sans" w:cs="IBM Plex Sans"/>
          <w:color w:val="000000"/>
          <w:lang w:val="es-ES"/>
        </w:rPr>
        <w:t>, la</w:t>
      </w:r>
      <w:r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b/>
          <w:color w:val="000000"/>
          <w:lang w:val="es-ES"/>
        </w:rPr>
        <w:t xml:space="preserve">Google </w:t>
      </w:r>
      <w:proofErr w:type="spellStart"/>
      <w:r w:rsidRPr="00974B41">
        <w:rPr>
          <w:rFonts w:ascii="IBM Plex Sans" w:eastAsia="IBM Plex Sans" w:hAnsi="IBM Plex Sans" w:cs="IBM Plex Sans"/>
          <w:b/>
          <w:color w:val="000000"/>
          <w:lang w:val="es-ES"/>
        </w:rPr>
        <w:t>Jamboard</w:t>
      </w:r>
      <w:proofErr w:type="spellEnd"/>
      <w:r w:rsidR="0097497C">
        <w:rPr>
          <w:rFonts w:ascii="IBM Plex Sans" w:eastAsia="IBM Plex Sans" w:hAnsi="IBM Plex Sans" w:cs="IBM Plex Sans"/>
          <w:b/>
          <w:color w:val="000000"/>
          <w:lang w:val="es-ES"/>
        </w:rPr>
        <w:t>,</w:t>
      </w:r>
      <w:r w:rsidRPr="00974B41">
        <w:rPr>
          <w:rFonts w:ascii="IBM Plex Sans" w:eastAsia="IBM Plex Sans" w:hAnsi="IBM Plex Sans" w:cs="IBM Plex Sans"/>
          <w:color w:val="000000"/>
          <w:lang w:val="es-ES"/>
        </w:rPr>
        <w:t xml:space="preserve"> para recoger las valoraciones a través de </w:t>
      </w:r>
      <w:proofErr w:type="spellStart"/>
      <w:r w:rsidRPr="00974B41">
        <w:rPr>
          <w:rFonts w:ascii="IBM Plex Sans" w:eastAsia="IBM Plex Sans" w:hAnsi="IBM Plex Sans" w:cs="IBM Plex Sans"/>
          <w:color w:val="000000"/>
          <w:lang w:val="es-ES"/>
        </w:rPr>
        <w:t>post-it</w:t>
      </w:r>
      <w:proofErr w:type="spellEnd"/>
      <w:r w:rsidRPr="00974B41">
        <w:rPr>
          <w:rFonts w:ascii="IBM Plex Sans" w:eastAsia="IBM Plex Sans" w:hAnsi="IBM Plex Sans" w:cs="IBM Plex Sans"/>
          <w:color w:val="000000"/>
          <w:lang w:val="es-ES"/>
        </w:rPr>
        <w:t xml:space="preserve"> digitales que se pueden poner en esta pizarra digital.</w:t>
      </w:r>
    </w:p>
    <w:p w14:paraId="7815D80A" w14:textId="77777777" w:rsidR="00FE5F65" w:rsidRPr="00974B41" w:rsidRDefault="00FE5F65">
      <w:pPr>
        <w:spacing w:after="0" w:line="276" w:lineRule="auto"/>
        <w:ind w:left="928"/>
        <w:jc w:val="both"/>
        <w:rPr>
          <w:rFonts w:ascii="IBM Plex Sans" w:eastAsia="IBM Plex Sans" w:hAnsi="IBM Plex Sans" w:cs="IBM Plex Sans"/>
          <w:color w:val="000000"/>
          <w:lang w:val="es-ES"/>
        </w:rPr>
      </w:pPr>
    </w:p>
    <w:p w14:paraId="790DFA3B" w14:textId="32216A68" w:rsidR="00FE5F65" w:rsidRPr="00974B41" w:rsidRDefault="00617248">
      <w:pPr>
        <w:numPr>
          <w:ilvl w:val="0"/>
          <w:numId w:val="17"/>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También se ha consensuado la información sobre los puntos propuestos por los jóvenes para la ruta de los ODS con otras entidades y los representantes de la administración local.</w:t>
      </w:r>
    </w:p>
    <w:p w14:paraId="28459A5A" w14:textId="77777777" w:rsidR="00FE5F65" w:rsidRPr="00974B41" w:rsidRDefault="00617248">
      <w:pPr>
        <w:numPr>
          <w:ilvl w:val="1"/>
          <w:numId w:val="17"/>
        </w:numPr>
        <w:spacing w:after="0" w:line="276" w:lineRule="auto"/>
        <w:jc w:val="both"/>
        <w:rPr>
          <w:rFonts w:ascii="Times New Roman" w:eastAsia="Times New Roman" w:hAnsi="Times New Roman" w:cs="Times New Roman"/>
          <w:color w:val="000000"/>
          <w:lang w:val="es-ES"/>
        </w:rPr>
      </w:pPr>
      <w:r w:rsidRPr="00974B41">
        <w:rPr>
          <w:rFonts w:ascii="IBM Plex Sans" w:eastAsia="IBM Plex Sans" w:hAnsi="IBM Plex Sans" w:cs="IBM Plex Sans"/>
          <w:color w:val="000000"/>
          <w:lang w:val="es-ES"/>
        </w:rPr>
        <w:t xml:space="preserve">Para ello se ha utilizado una presentación que recogía todo el proceso de trabajo y la propuesta definitiva de la ruta, para ello se ha utilizado como recurso el </w:t>
      </w:r>
      <w:proofErr w:type="spellStart"/>
      <w:r w:rsidRPr="00974B41">
        <w:rPr>
          <w:rFonts w:ascii="IBM Plex Sans" w:eastAsia="IBM Plex Sans" w:hAnsi="IBM Plex Sans" w:cs="IBM Plex Sans"/>
          <w:b/>
          <w:color w:val="000000"/>
          <w:lang w:val="es-ES"/>
        </w:rPr>
        <w:t>Power</w:t>
      </w:r>
      <w:proofErr w:type="spellEnd"/>
      <w:r w:rsidRPr="00974B41">
        <w:rPr>
          <w:rFonts w:ascii="IBM Plex Sans" w:eastAsia="IBM Plex Sans" w:hAnsi="IBM Plex Sans" w:cs="IBM Plex Sans"/>
          <w:b/>
          <w:color w:val="000000"/>
          <w:lang w:val="es-ES"/>
        </w:rPr>
        <w:t xml:space="preserve"> Point de Microsoft</w:t>
      </w:r>
      <w:r w:rsidRPr="00974B41">
        <w:rPr>
          <w:rFonts w:ascii="IBM Plex Sans" w:eastAsia="IBM Plex Sans" w:hAnsi="IBM Plex Sans" w:cs="IBM Plex Sans"/>
          <w:color w:val="000000"/>
          <w:lang w:val="es-ES"/>
        </w:rPr>
        <w:t>.</w:t>
      </w:r>
    </w:p>
    <w:p w14:paraId="113F3E59" w14:textId="77777777" w:rsidR="00FE5F65" w:rsidRPr="00974B41" w:rsidRDefault="00FE5F65">
      <w:pPr>
        <w:spacing w:after="0" w:line="276" w:lineRule="auto"/>
        <w:jc w:val="both"/>
        <w:rPr>
          <w:rFonts w:ascii="IBM Plex Sans" w:eastAsia="IBM Plex Sans" w:hAnsi="IBM Plex Sans" w:cs="IBM Plex Sans"/>
          <w:color w:val="000000"/>
          <w:lang w:val="es-ES"/>
        </w:rPr>
      </w:pPr>
    </w:p>
    <w:p w14:paraId="42479308" w14:textId="4AB5D35B" w:rsidR="00FE5F65" w:rsidRPr="00974B41" w:rsidRDefault="00617248">
      <w:pPr>
        <w:numPr>
          <w:ilvl w:val="0"/>
          <w:numId w:val="17"/>
        </w:numPr>
        <w:spacing w:after="0" w:line="276" w:lineRule="auto"/>
        <w:jc w:val="both"/>
        <w:rPr>
          <w:rFonts w:ascii="Times New Roman" w:eastAsia="Times New Roman" w:hAnsi="Times New Roman" w:cs="Times New Roman"/>
          <w:color w:val="000000"/>
          <w:lang w:val="es-ES"/>
        </w:rPr>
      </w:pPr>
      <w:r w:rsidRPr="00974B41">
        <w:rPr>
          <w:rFonts w:ascii="IBM Plex Sans" w:eastAsia="IBM Plex Sans" w:hAnsi="IBM Plex Sans" w:cs="IBM Plex Sans"/>
          <w:color w:val="000000"/>
          <w:lang w:val="es-ES"/>
        </w:rPr>
        <w:t>Al momento de señalizar los puntos dentro del territorio, es decir</w:t>
      </w:r>
      <w:r w:rsidR="00D83BED">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indicar por</w:t>
      </w:r>
      <w:r w:rsidR="001C5409">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 xml:space="preserve">qué este punto se identifica con un ODS, se han elaborado unos cuadros en metacrilatos (ver foto) mediante una serigrafía que además del texto contiene un </w:t>
      </w:r>
      <w:r w:rsidRPr="00974B41">
        <w:rPr>
          <w:rFonts w:ascii="IBM Plex Sans" w:eastAsia="IBM Plex Sans" w:hAnsi="IBM Plex Sans" w:cs="IBM Plex Sans"/>
          <w:b/>
          <w:color w:val="000000"/>
          <w:lang w:val="es-ES"/>
        </w:rPr>
        <w:t>Código QR,</w:t>
      </w:r>
      <w:r w:rsidRPr="00974B41">
        <w:rPr>
          <w:rFonts w:ascii="IBM Plex Sans" w:eastAsia="IBM Plex Sans" w:hAnsi="IBM Plex Sans" w:cs="IBM Plex Sans"/>
          <w:color w:val="000000"/>
          <w:lang w:val="es-ES"/>
        </w:rPr>
        <w:t xml:space="preserve"> con información adicional. Este recurso </w:t>
      </w:r>
      <w:r w:rsidR="003B77A4">
        <w:rPr>
          <w:rFonts w:ascii="IBM Plex Sans" w:eastAsia="IBM Plex Sans" w:hAnsi="IBM Plex Sans" w:cs="IBM Plex Sans"/>
          <w:color w:val="000000"/>
          <w:lang w:val="es-ES"/>
        </w:rPr>
        <w:t>pertenece a la categoría de</w:t>
      </w:r>
      <w:r w:rsidRPr="00974B41">
        <w:rPr>
          <w:rFonts w:ascii="IBM Plex Sans" w:eastAsia="IBM Plex Sans" w:hAnsi="IBM Plex Sans" w:cs="IBM Plex Sans"/>
          <w:color w:val="000000"/>
          <w:lang w:val="es-ES"/>
        </w:rPr>
        <w:t xml:space="preserve"> realidad aumentada.</w:t>
      </w:r>
    </w:p>
    <w:p w14:paraId="4EE0644F" w14:textId="77777777" w:rsidR="00FE5F65" w:rsidRPr="00974B41" w:rsidRDefault="00FE5F65">
      <w:pPr>
        <w:spacing w:after="0" w:line="276" w:lineRule="auto"/>
        <w:ind w:left="928"/>
        <w:jc w:val="both"/>
        <w:rPr>
          <w:rFonts w:ascii="IBM Plex Sans" w:eastAsia="IBM Plex Sans" w:hAnsi="IBM Plex Sans" w:cs="IBM Plex Sans"/>
          <w:color w:val="000000"/>
          <w:lang w:val="es-ES"/>
        </w:rPr>
      </w:pPr>
    </w:p>
    <w:p w14:paraId="117512B4" w14:textId="77777777" w:rsidR="00FE5F65" w:rsidRPr="00974B41" w:rsidRDefault="00617248">
      <w:pPr>
        <w:numPr>
          <w:ilvl w:val="0"/>
          <w:numId w:val="18"/>
        </w:numPr>
        <w:spacing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Finalmente, se han recogido nuevas propuestas para dar continuidad al proyecto. Estas propuestas conformarán el nuevo ciclo de investigación acción participativa.</w:t>
      </w:r>
    </w:p>
    <w:p w14:paraId="535B3B5C" w14:textId="730777DA" w:rsidR="00FE5F65" w:rsidRPr="00974B41" w:rsidRDefault="00617248">
      <w:pPr>
        <w:tabs>
          <w:tab w:val="left" w:pos="1305"/>
        </w:tabs>
        <w:spacing w:before="200" w:after="0" w:line="276"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Para conocer más sobre estas acciones</w:t>
      </w:r>
      <w:r w:rsidR="007400EB">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en el material complementario se presentan unas lecturas recomendadas.</w:t>
      </w:r>
    </w:p>
    <w:p w14:paraId="6E012C8F" w14:textId="77777777" w:rsidR="00FE5F65" w:rsidRPr="00974B41" w:rsidRDefault="00617248">
      <w:pPr>
        <w:tabs>
          <w:tab w:val="left" w:pos="5685"/>
        </w:tabs>
        <w:spacing w:after="0" w:line="240" w:lineRule="auto"/>
        <w:rPr>
          <w:rFonts w:ascii="Courier New" w:eastAsia="Courier New" w:hAnsi="Courier New" w:cs="Courier New"/>
          <w:color w:val="000000"/>
          <w:sz w:val="20"/>
          <w:szCs w:val="20"/>
          <w:lang w:val="es-ES"/>
        </w:rPr>
      </w:pPr>
      <w:r w:rsidRPr="00974B41">
        <w:rPr>
          <w:rFonts w:ascii="Courier New" w:eastAsia="Courier New" w:hAnsi="Courier New" w:cs="Courier New"/>
          <w:noProof/>
          <w:color w:val="000000"/>
          <w:sz w:val="20"/>
          <w:szCs w:val="20"/>
          <w:lang w:val="es-ES"/>
        </w:rPr>
        <w:lastRenderedPageBreak/>
        <w:drawing>
          <wp:inline distT="114300" distB="114300" distL="114300" distR="114300" wp14:anchorId="38E88C94" wp14:editId="4C65D764">
            <wp:extent cx="5928201" cy="4398343"/>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28201" cy="4398343"/>
                    </a:xfrm>
                    <a:prstGeom prst="rect">
                      <a:avLst/>
                    </a:prstGeom>
                    <a:ln/>
                  </pic:spPr>
                </pic:pic>
              </a:graphicData>
            </a:graphic>
          </wp:inline>
        </w:drawing>
      </w:r>
    </w:p>
    <w:p w14:paraId="3E17589E" w14:textId="77777777" w:rsidR="00FE5F65" w:rsidRPr="00974B41" w:rsidRDefault="00FE5F65">
      <w:pPr>
        <w:tabs>
          <w:tab w:val="left" w:pos="5685"/>
        </w:tabs>
        <w:spacing w:after="0" w:line="240" w:lineRule="auto"/>
        <w:rPr>
          <w:rFonts w:ascii="Courier New" w:eastAsia="Courier New" w:hAnsi="Courier New" w:cs="Courier New"/>
          <w:color w:val="000000"/>
          <w:sz w:val="20"/>
          <w:szCs w:val="20"/>
          <w:lang w:val="es-ES"/>
        </w:rPr>
      </w:pPr>
    </w:p>
    <w:p w14:paraId="20AF8A2E" w14:textId="77777777" w:rsidR="00FE5F65" w:rsidRPr="00974B41" w:rsidRDefault="00FE5F65">
      <w:pPr>
        <w:spacing w:after="0" w:line="240" w:lineRule="auto"/>
        <w:jc w:val="both"/>
        <w:rPr>
          <w:rFonts w:ascii="IBM Plex Sans" w:eastAsia="IBM Plex Sans" w:hAnsi="IBM Plex Sans" w:cs="IBM Plex Sans"/>
          <w:b/>
          <w:sz w:val="36"/>
          <w:szCs w:val="36"/>
          <w:lang w:val="es-ES"/>
        </w:rPr>
      </w:pPr>
    </w:p>
    <w:p w14:paraId="0954C5F4" w14:textId="77777777" w:rsidR="00FE5F65" w:rsidRPr="00974B41" w:rsidRDefault="00FE5F65">
      <w:pPr>
        <w:spacing w:after="0" w:line="240" w:lineRule="auto"/>
        <w:jc w:val="both"/>
        <w:rPr>
          <w:rFonts w:ascii="IBM Plex Sans" w:eastAsia="IBM Plex Sans" w:hAnsi="IBM Plex Sans" w:cs="IBM Plex Sans"/>
          <w:b/>
          <w:sz w:val="36"/>
          <w:szCs w:val="36"/>
          <w:lang w:val="es-ES"/>
        </w:rPr>
      </w:pPr>
    </w:p>
    <w:p w14:paraId="143AE0CF" w14:textId="77777777" w:rsidR="00FE5F65" w:rsidRPr="00974B41" w:rsidRDefault="00FE5F65">
      <w:pPr>
        <w:spacing w:after="0" w:line="240" w:lineRule="auto"/>
        <w:jc w:val="both"/>
        <w:rPr>
          <w:rFonts w:ascii="IBM Plex Sans" w:eastAsia="IBM Plex Sans" w:hAnsi="IBM Plex Sans" w:cs="IBM Plex Sans"/>
          <w:b/>
          <w:sz w:val="36"/>
          <w:szCs w:val="36"/>
          <w:lang w:val="es-ES"/>
        </w:rPr>
      </w:pPr>
    </w:p>
    <w:p w14:paraId="31CF1D66" w14:textId="77777777" w:rsidR="00FE5F65" w:rsidRPr="00974B41" w:rsidRDefault="00FE5F65">
      <w:pPr>
        <w:spacing w:after="0" w:line="240" w:lineRule="auto"/>
        <w:jc w:val="both"/>
        <w:rPr>
          <w:rFonts w:ascii="IBM Plex Sans" w:eastAsia="IBM Plex Sans" w:hAnsi="IBM Plex Sans" w:cs="IBM Plex Sans"/>
          <w:b/>
          <w:sz w:val="36"/>
          <w:szCs w:val="36"/>
          <w:lang w:val="es-ES"/>
        </w:rPr>
      </w:pPr>
    </w:p>
    <w:p w14:paraId="71A78E5F" w14:textId="77777777" w:rsidR="00FE5F65" w:rsidRPr="00974B41" w:rsidRDefault="00FE5F65">
      <w:pPr>
        <w:spacing w:after="0" w:line="240" w:lineRule="auto"/>
        <w:jc w:val="both"/>
        <w:rPr>
          <w:rFonts w:ascii="IBM Plex Sans" w:eastAsia="IBM Plex Sans" w:hAnsi="IBM Plex Sans" w:cs="IBM Plex Sans"/>
          <w:b/>
          <w:sz w:val="36"/>
          <w:szCs w:val="36"/>
          <w:lang w:val="es-ES"/>
        </w:rPr>
      </w:pPr>
    </w:p>
    <w:p w14:paraId="440DB4D1" w14:textId="77777777" w:rsidR="00FE5F65" w:rsidRPr="00974B41" w:rsidRDefault="00617248">
      <w:pPr>
        <w:pStyle w:val="Ttulo1"/>
        <w:spacing w:line="240" w:lineRule="auto"/>
        <w:jc w:val="both"/>
        <w:rPr>
          <w:color w:val="000000"/>
          <w:lang w:val="es-ES"/>
        </w:rPr>
      </w:pPr>
      <w:bookmarkStart w:id="4" w:name="_Toc139015862"/>
      <w:r w:rsidRPr="00974B41">
        <w:rPr>
          <w:lang w:val="es-ES"/>
        </w:rPr>
        <w:t xml:space="preserve">03 </w:t>
      </w:r>
      <w:proofErr w:type="gramStart"/>
      <w:r w:rsidRPr="00974B41">
        <w:rPr>
          <w:color w:val="000000"/>
          <w:lang w:val="es-ES"/>
        </w:rPr>
        <w:t>Un</w:t>
      </w:r>
      <w:proofErr w:type="gramEnd"/>
      <w:r w:rsidRPr="00974B41">
        <w:rPr>
          <w:color w:val="000000"/>
          <w:lang w:val="es-ES"/>
        </w:rPr>
        <w:t xml:space="preserve"> ejemplo de una buena práctica en una organización empresaria</w:t>
      </w:r>
      <w:bookmarkEnd w:id="4"/>
    </w:p>
    <w:p w14:paraId="5CDE9BC0" w14:textId="77777777" w:rsidR="00FE5F65" w:rsidRPr="00974B41" w:rsidRDefault="00FE5F65">
      <w:pPr>
        <w:spacing w:after="0" w:line="240" w:lineRule="auto"/>
        <w:rPr>
          <w:rFonts w:ascii="Calibri" w:eastAsia="Calibri" w:hAnsi="Calibri" w:cs="Calibri"/>
          <w:b/>
          <w:color w:val="000000"/>
          <w:lang w:val="es-ES"/>
        </w:rPr>
      </w:pPr>
    </w:p>
    <w:p w14:paraId="630A0F2E" w14:textId="7E249A7B"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Al inicio de este módulo hemos </w:t>
      </w:r>
      <w:r w:rsidR="0072031C">
        <w:rPr>
          <w:rFonts w:ascii="IBM Plex Sans" w:eastAsia="IBM Plex Sans" w:hAnsi="IBM Plex Sans" w:cs="IBM Plex Sans"/>
          <w:color w:val="000000"/>
          <w:lang w:val="es-ES"/>
        </w:rPr>
        <w:t>mencionado</w:t>
      </w:r>
      <w:r w:rsidR="0072031C"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un patrón básico de mejora continua que puede servir tanto para organizaciones</w:t>
      </w:r>
      <w:r w:rsidR="006C6435" w:rsidRPr="006C6435">
        <w:rPr>
          <w:rFonts w:ascii="IBM Plex Sans" w:eastAsia="IBM Plex Sans" w:hAnsi="IBM Plex Sans" w:cs="IBM Plex Sans"/>
          <w:color w:val="000000"/>
          <w:lang w:val="es-ES"/>
        </w:rPr>
        <w:t xml:space="preserve"> </w:t>
      </w:r>
      <w:r w:rsidR="006C6435" w:rsidRPr="001D1EEF">
        <w:rPr>
          <w:rFonts w:ascii="IBM Plex Sans" w:eastAsia="IBM Plex Sans" w:hAnsi="IBM Plex Sans" w:cs="IBM Plex Sans"/>
          <w:color w:val="000000"/>
          <w:lang w:val="es-ES"/>
        </w:rPr>
        <w:t>como para la vida cotidiana</w:t>
      </w:r>
      <w:r w:rsidRPr="00974B41">
        <w:rPr>
          <w:rFonts w:ascii="IBM Plex Sans" w:eastAsia="IBM Plex Sans" w:hAnsi="IBM Plex Sans" w:cs="IBM Plex Sans"/>
          <w:color w:val="000000"/>
          <w:lang w:val="es-ES"/>
        </w:rPr>
        <w:t xml:space="preserve">, y </w:t>
      </w:r>
      <w:r w:rsidR="0072031C">
        <w:rPr>
          <w:rFonts w:ascii="IBM Plex Sans" w:eastAsia="IBM Plex Sans" w:hAnsi="IBM Plex Sans" w:cs="IBM Plex Sans"/>
          <w:color w:val="000000"/>
          <w:lang w:val="es-ES"/>
        </w:rPr>
        <w:t>en este</w:t>
      </w:r>
      <w:r w:rsidR="0072031C"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caso empresas</w:t>
      </w:r>
      <w:r w:rsidR="007542A0">
        <w:rPr>
          <w:rFonts w:ascii="IBM Plex Sans" w:eastAsia="IBM Plex Sans" w:hAnsi="IBM Plex Sans" w:cs="IBM Plex Sans"/>
          <w:color w:val="000000"/>
          <w:lang w:val="es-ES"/>
        </w:rPr>
        <w:t>,</w:t>
      </w:r>
      <w:r w:rsidR="00937C80">
        <w:rPr>
          <w:rFonts w:ascii="IBM Plex Sans" w:eastAsia="IBM Plex Sans" w:hAnsi="IBM Plex Sans" w:cs="IBM Plex Sans"/>
          <w:color w:val="000000"/>
          <w:lang w:val="es-ES"/>
        </w:rPr>
        <w:t xml:space="preserve"> que</w:t>
      </w:r>
      <w:r w:rsidRPr="00974B41">
        <w:rPr>
          <w:rFonts w:ascii="IBM Plex Sans" w:eastAsia="IBM Plex Sans" w:hAnsi="IBM Plex Sans" w:cs="IBM Plex Sans"/>
          <w:color w:val="000000"/>
          <w:lang w:val="es-ES"/>
        </w:rPr>
        <w:t xml:space="preserve"> </w:t>
      </w:r>
      <w:r w:rsidR="00937C80">
        <w:rPr>
          <w:rFonts w:ascii="IBM Plex Sans" w:eastAsia="IBM Plex Sans" w:hAnsi="IBM Plex Sans" w:cs="IBM Plex Sans"/>
          <w:color w:val="000000"/>
          <w:lang w:val="es-ES"/>
        </w:rPr>
        <w:t>tendría</w:t>
      </w:r>
      <w:r w:rsidR="00937C80"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que plantear las siguientes acciones:</w:t>
      </w:r>
    </w:p>
    <w:p w14:paraId="13F55046"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45154ADF" w14:textId="77777777" w:rsidR="00FE5F65" w:rsidRPr="00974B41" w:rsidRDefault="00617248">
      <w:pPr>
        <w:numPr>
          <w:ilvl w:val="0"/>
          <w:numId w:val="4"/>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Establecer objetivos claros y medibles para sus prácticas de sostenibilidad. </w:t>
      </w:r>
    </w:p>
    <w:p w14:paraId="5CE624C0" w14:textId="5D474E01" w:rsidR="00FE5F65" w:rsidRPr="00974B41" w:rsidRDefault="00617248">
      <w:pPr>
        <w:numPr>
          <w:ilvl w:val="0"/>
          <w:numId w:val="4"/>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Realizar una evaluación de impacto</w:t>
      </w:r>
      <w:r w:rsidR="00A94911">
        <w:rPr>
          <w:rFonts w:ascii="IBM Plex Sans" w:eastAsia="IBM Plex Sans" w:hAnsi="IBM Plex Sans" w:cs="IBM Plex Sans"/>
          <w:color w:val="000000"/>
          <w:lang w:val="es-ES"/>
        </w:rPr>
        <w:t xml:space="preserve"> p</w:t>
      </w:r>
      <w:r w:rsidRPr="00974B41">
        <w:rPr>
          <w:rFonts w:ascii="IBM Plex Sans" w:eastAsia="IBM Plex Sans" w:hAnsi="IBM Plex Sans" w:cs="IBM Plex Sans"/>
          <w:color w:val="000000"/>
          <w:lang w:val="es-ES"/>
        </w:rPr>
        <w:t>ara determinar las áreas que requieren mejoras</w:t>
      </w:r>
    </w:p>
    <w:p w14:paraId="041CCE7E" w14:textId="13886DBC" w:rsidR="00FE5F65" w:rsidRPr="00974B41" w:rsidRDefault="00617248">
      <w:pPr>
        <w:numPr>
          <w:ilvl w:val="0"/>
          <w:numId w:val="4"/>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Involucrar a otras personas: </w:t>
      </w:r>
      <w:r w:rsidR="00A94911">
        <w:rPr>
          <w:rFonts w:ascii="IBM Plex Sans" w:eastAsia="IBM Plex Sans" w:hAnsi="IBM Plex Sans" w:cs="IBM Plex Sans"/>
          <w:color w:val="000000"/>
          <w:lang w:val="es-ES"/>
        </w:rPr>
        <w:t>L</w:t>
      </w:r>
      <w:r w:rsidRPr="00974B41">
        <w:rPr>
          <w:rFonts w:ascii="IBM Plex Sans" w:eastAsia="IBM Plex Sans" w:hAnsi="IBM Plex Sans" w:cs="IBM Plex Sans"/>
          <w:color w:val="000000"/>
          <w:lang w:val="es-ES"/>
        </w:rPr>
        <w:t>os empleados de una empresa, socios o clientes.</w:t>
      </w:r>
    </w:p>
    <w:p w14:paraId="602A6B19" w14:textId="77777777" w:rsidR="00FE5F65" w:rsidRPr="00974B41" w:rsidRDefault="00617248">
      <w:pPr>
        <w:numPr>
          <w:ilvl w:val="0"/>
          <w:numId w:val="4"/>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Fomentar la transparencia. Esto ayuda a generar confianza y credibilidad en la organización. </w:t>
      </w:r>
    </w:p>
    <w:p w14:paraId="565B882E" w14:textId="77777777" w:rsidR="00FE5F65" w:rsidRPr="00974B41" w:rsidRDefault="00617248">
      <w:pPr>
        <w:numPr>
          <w:ilvl w:val="0"/>
          <w:numId w:val="4"/>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Integrar la sostenibilidad en la cadena de suministro.</w:t>
      </w:r>
    </w:p>
    <w:p w14:paraId="10842E59" w14:textId="77777777" w:rsidR="00FE5F65" w:rsidRPr="00974B41" w:rsidRDefault="00617248">
      <w:pPr>
        <w:numPr>
          <w:ilvl w:val="0"/>
          <w:numId w:val="4"/>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lastRenderedPageBreak/>
        <w:t>Medir y evaluar el progreso utilizando indicadores.</w:t>
      </w:r>
    </w:p>
    <w:p w14:paraId="39F2B372" w14:textId="73E671F4" w:rsidR="00FE5F65" w:rsidRPr="00974B41" w:rsidRDefault="00617248">
      <w:pPr>
        <w:numPr>
          <w:ilvl w:val="0"/>
          <w:numId w:val="4"/>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Innovación: </w:t>
      </w:r>
      <w:r w:rsidR="0018027E">
        <w:rPr>
          <w:rFonts w:ascii="IBM Plex Sans" w:eastAsia="IBM Plex Sans" w:hAnsi="IBM Plex Sans" w:cs="IBM Plex Sans"/>
          <w:color w:val="000000"/>
          <w:lang w:val="es-ES"/>
        </w:rPr>
        <w:t>L</w:t>
      </w:r>
      <w:r w:rsidRPr="00974B41">
        <w:rPr>
          <w:rFonts w:ascii="IBM Plex Sans" w:eastAsia="IBM Plex Sans" w:hAnsi="IBM Plex Sans" w:cs="IBM Plex Sans"/>
          <w:color w:val="000000"/>
          <w:lang w:val="es-ES"/>
        </w:rPr>
        <w:t xml:space="preserve">as organizaciones deben fomentar la innovación y la creatividad para encontrar soluciones sostenibles a los desafíos empresariales y medioambientales. </w:t>
      </w:r>
    </w:p>
    <w:p w14:paraId="2EDAEF36" w14:textId="77777777" w:rsidR="00FE5F65" w:rsidRPr="00974B41" w:rsidRDefault="00FE5F65">
      <w:pPr>
        <w:spacing w:after="0" w:line="240" w:lineRule="auto"/>
        <w:ind w:left="720"/>
        <w:jc w:val="both"/>
        <w:rPr>
          <w:rFonts w:ascii="IBM Plex Sans" w:eastAsia="IBM Plex Sans" w:hAnsi="IBM Plex Sans" w:cs="IBM Plex Sans"/>
          <w:color w:val="000000"/>
          <w:lang w:val="es-ES"/>
        </w:rPr>
      </w:pPr>
    </w:p>
    <w:p w14:paraId="2017B972" w14:textId="43A5EA5C"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Para ver cómo algunas empresas llevan adelante estas buenas prácticas y las comparten</w:t>
      </w:r>
      <w:r w:rsidR="00C734C4">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vamos a conocer las iniciativas que presenta la ONU para promover los ODS en las empresas, </w:t>
      </w:r>
      <w:r w:rsidR="008A0762">
        <w:rPr>
          <w:rFonts w:ascii="IBM Plex Sans" w:eastAsia="IBM Plex Sans" w:hAnsi="IBM Plex Sans" w:cs="IBM Plex Sans"/>
          <w:color w:val="000000"/>
          <w:lang w:val="es-ES"/>
        </w:rPr>
        <w:t>centrándonos particularmente en</w:t>
      </w:r>
      <w:r w:rsidRPr="00974B41">
        <w:rPr>
          <w:rFonts w:ascii="IBM Plex Sans" w:eastAsia="IBM Plex Sans" w:hAnsi="IBM Plex Sans" w:cs="IBM Plex Sans"/>
          <w:color w:val="000000"/>
          <w:lang w:val="es-ES"/>
        </w:rPr>
        <w:t xml:space="preserve"> el “Pacto Mundial”.</w:t>
      </w:r>
    </w:p>
    <w:p w14:paraId="49320130"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1E645FD0" w14:textId="77777777"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El Pacto Mundial de las Naciones Unidas es una iniciativa voluntaria en la que participan empresas y organizaciones de todo el mundo para promover prácticas comerciales sostenibles y socialmente responsables. Fue lanzado en 2000 por el entonces Secretario General de las Naciones Unidas, Kofi Annan.</w:t>
      </w:r>
    </w:p>
    <w:p w14:paraId="0BBC6C15"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568B19F9" w14:textId="04C679F6"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Los principios del Pacto Mundial se basan en diez valores universales</w:t>
      </w:r>
      <w:r w:rsidR="00B5669F">
        <w:rPr>
          <w:rFonts w:ascii="IBM Plex Sans" w:eastAsia="IBM Plex Sans" w:hAnsi="IBM Plex Sans" w:cs="IBM Plex Sans"/>
          <w:color w:val="000000"/>
          <w:lang w:val="es-ES"/>
        </w:rPr>
        <w:t xml:space="preserve"> repartidos</w:t>
      </w:r>
      <w:r w:rsidRPr="00974B41">
        <w:rPr>
          <w:rFonts w:ascii="IBM Plex Sans" w:eastAsia="IBM Plex Sans" w:hAnsi="IBM Plex Sans" w:cs="IBM Plex Sans"/>
          <w:color w:val="000000"/>
          <w:lang w:val="es-ES"/>
        </w:rPr>
        <w:t xml:space="preserve"> en cuatro áreas temáticas: derechos humanos, normas laborales, medio ambiente y lucha contra la corrupción. </w:t>
      </w:r>
    </w:p>
    <w:p w14:paraId="31705613"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3DA2F0F7" w14:textId="77777777"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Estos principios son:</w:t>
      </w:r>
    </w:p>
    <w:p w14:paraId="2F031A4F"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251515BA" w14:textId="77777777" w:rsidR="00FE5F65" w:rsidRPr="00974B41" w:rsidRDefault="00617248">
      <w:pPr>
        <w:numPr>
          <w:ilvl w:val="0"/>
          <w:numId w:val="3"/>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Derechos humanos:</w:t>
      </w:r>
    </w:p>
    <w:p w14:paraId="34EF4FEC" w14:textId="77777777" w:rsidR="00FE5F65" w:rsidRPr="00974B41" w:rsidRDefault="00617248">
      <w:pPr>
        <w:numPr>
          <w:ilvl w:val="0"/>
          <w:numId w:val="11"/>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Principio 1: Las empresas deben apoyar y respetar la protección de los derechos humanos fundamentales reconocidos internacionalmente dentro de su ámbito de influencia.</w:t>
      </w:r>
    </w:p>
    <w:p w14:paraId="5BD9D1EC" w14:textId="77777777" w:rsidR="00FE5F65" w:rsidRPr="00974B41" w:rsidRDefault="00617248">
      <w:pPr>
        <w:numPr>
          <w:ilvl w:val="0"/>
          <w:numId w:val="11"/>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Principio 2: Las empresas deben asegurarse de que no son cómplices en la vulneración de los derechos humanos.</w:t>
      </w:r>
    </w:p>
    <w:p w14:paraId="4E57259F" w14:textId="77777777" w:rsidR="00FE5F65" w:rsidRPr="00974B41" w:rsidRDefault="00617248">
      <w:pPr>
        <w:numPr>
          <w:ilvl w:val="0"/>
          <w:numId w:val="5"/>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Normas laborales:</w:t>
      </w:r>
    </w:p>
    <w:p w14:paraId="004B2B45" w14:textId="77777777" w:rsidR="00FE5F65" w:rsidRPr="00974B41" w:rsidRDefault="00617248">
      <w:pPr>
        <w:numPr>
          <w:ilvl w:val="0"/>
          <w:numId w:val="1"/>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Principio 3: Las empresas deben respetar la libertad de asociación y el derecho a la negociación colectiva.</w:t>
      </w:r>
    </w:p>
    <w:p w14:paraId="5EC795C2" w14:textId="77777777" w:rsidR="00FE5F65" w:rsidRPr="00974B41" w:rsidRDefault="00617248">
      <w:pPr>
        <w:numPr>
          <w:ilvl w:val="0"/>
          <w:numId w:val="1"/>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Principio 4: Las empresas deben eliminar toda forma de trabajo forzoso o involuntario.</w:t>
      </w:r>
    </w:p>
    <w:p w14:paraId="29C92D50" w14:textId="77777777" w:rsidR="00FE5F65" w:rsidRPr="00974B41" w:rsidRDefault="00617248">
      <w:pPr>
        <w:numPr>
          <w:ilvl w:val="0"/>
          <w:numId w:val="1"/>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Principio 5: Las empresas deben abolir el trabajo infantil.</w:t>
      </w:r>
    </w:p>
    <w:p w14:paraId="25DC2543" w14:textId="77777777" w:rsidR="00FE5F65" w:rsidRPr="00974B41" w:rsidRDefault="00617248">
      <w:pPr>
        <w:numPr>
          <w:ilvl w:val="0"/>
          <w:numId w:val="1"/>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Principio 6: Las empresas deben eliminar la discriminación en el empleo y la ocupación.</w:t>
      </w:r>
    </w:p>
    <w:p w14:paraId="098E54F5" w14:textId="77777777" w:rsidR="00FE5F65" w:rsidRPr="00974B41" w:rsidRDefault="00617248">
      <w:pPr>
        <w:numPr>
          <w:ilvl w:val="0"/>
          <w:numId w:val="5"/>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Medio ambiente:</w:t>
      </w:r>
    </w:p>
    <w:p w14:paraId="345DF7C6" w14:textId="77777777" w:rsidR="00FE5F65" w:rsidRPr="00974B41" w:rsidRDefault="00617248">
      <w:pPr>
        <w:numPr>
          <w:ilvl w:val="0"/>
          <w:numId w:val="12"/>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Principio 7: Las empresas deben mantener un enfoque preventivo que fomente la responsabilidad ambiental.</w:t>
      </w:r>
    </w:p>
    <w:p w14:paraId="13F72652" w14:textId="77777777" w:rsidR="00FE5F65" w:rsidRPr="00974B41" w:rsidRDefault="00617248">
      <w:pPr>
        <w:numPr>
          <w:ilvl w:val="0"/>
          <w:numId w:val="12"/>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Principio 8: Las empresas deben promover mayor conciencia ambiental.</w:t>
      </w:r>
    </w:p>
    <w:p w14:paraId="0B85E4E5" w14:textId="77777777" w:rsidR="00FE5F65" w:rsidRPr="00974B41" w:rsidRDefault="00617248">
      <w:pPr>
        <w:numPr>
          <w:ilvl w:val="0"/>
          <w:numId w:val="12"/>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Principio 9: Las empresas deben fomentar el desarrollo y la difusión de tecnologías respetuosas con el medio ambiente.</w:t>
      </w:r>
    </w:p>
    <w:p w14:paraId="2AAAD526" w14:textId="77777777" w:rsidR="00FE5F65" w:rsidRPr="00974B41" w:rsidRDefault="00617248">
      <w:pPr>
        <w:numPr>
          <w:ilvl w:val="0"/>
          <w:numId w:val="14"/>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Lucha contra la corrupción:</w:t>
      </w:r>
    </w:p>
    <w:p w14:paraId="76BFCFDE" w14:textId="77777777" w:rsidR="00FE5F65" w:rsidRPr="00974B41" w:rsidRDefault="00617248">
      <w:pPr>
        <w:numPr>
          <w:ilvl w:val="0"/>
          <w:numId w:val="10"/>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Principio 10: Las empresas deben trabajar contra la corrupción en todas sus formas, incluyendo extorsión y soborno.</w:t>
      </w:r>
    </w:p>
    <w:p w14:paraId="37967946"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22B75590" w14:textId="77777777"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Las empresas que participan en el Pacto Mundial de las Naciones Unidas se comprometen a integrar estos principios en sus operaciones y estrategias comerciales, y a informar regularmente sobre su progreso en la implementación de los mismos.</w:t>
      </w:r>
    </w:p>
    <w:p w14:paraId="6E5A34B3"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15A4AA7F" w14:textId="4F1CA4E3"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En la web de esta iniciativa de la ONU, además de indicar los beneficios de participar, también </w:t>
      </w:r>
      <w:r w:rsidR="00B26041">
        <w:rPr>
          <w:rFonts w:ascii="IBM Plex Sans" w:eastAsia="IBM Plex Sans" w:hAnsi="IBM Plex Sans" w:cs="IBM Plex Sans"/>
          <w:color w:val="000000"/>
          <w:lang w:val="es-ES"/>
        </w:rPr>
        <w:t>encontramos</w:t>
      </w:r>
      <w:r w:rsidR="00B26041"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 xml:space="preserve">un apartado especial sobre buenas prácticas. Lo denominan: “Aporta tu experiencia y encuentra nuevas ideas inspiradoras”. </w:t>
      </w:r>
    </w:p>
    <w:p w14:paraId="692D7A2A"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10B487A9"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78C50F2B" w14:textId="0DF1B408"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 xml:space="preserve"> </w:t>
      </w:r>
      <w:r w:rsidR="00B26041">
        <w:rPr>
          <w:rFonts w:ascii="IBM Plex Sans" w:eastAsia="IBM Plex Sans" w:hAnsi="IBM Plex Sans" w:cs="IBM Plex Sans"/>
          <w:color w:val="000000"/>
          <w:lang w:val="es-ES"/>
        </w:rPr>
        <w:t>Podemos ver u</w:t>
      </w:r>
      <w:r w:rsidRPr="00974B41">
        <w:rPr>
          <w:rFonts w:ascii="IBM Plex Sans" w:eastAsia="IBM Plex Sans" w:hAnsi="IBM Plex Sans" w:cs="IBM Plex Sans"/>
          <w:color w:val="000000"/>
          <w:lang w:val="es-ES"/>
        </w:rPr>
        <w:t xml:space="preserve">n ejemplo en el siguiente cuadro: </w:t>
      </w:r>
    </w:p>
    <w:p w14:paraId="3AE3EE57" w14:textId="77777777" w:rsidR="0081424A" w:rsidRPr="00974B41" w:rsidRDefault="0081424A">
      <w:pPr>
        <w:spacing w:after="0" w:line="240" w:lineRule="auto"/>
        <w:jc w:val="both"/>
        <w:rPr>
          <w:rFonts w:ascii="IBM Plex Sans" w:eastAsia="IBM Plex Sans" w:hAnsi="IBM Plex Sans" w:cs="IBM Plex Sans"/>
          <w:color w:val="000000"/>
          <w:lang w:val="es-ES"/>
        </w:rPr>
      </w:pPr>
    </w:p>
    <w:p w14:paraId="553B540C" w14:textId="77777777" w:rsidR="0081424A" w:rsidRPr="00974B41" w:rsidRDefault="0081424A">
      <w:pPr>
        <w:spacing w:after="0" w:line="240" w:lineRule="auto"/>
        <w:jc w:val="both"/>
        <w:rPr>
          <w:rFonts w:ascii="IBM Plex Sans" w:eastAsia="IBM Plex Sans" w:hAnsi="IBM Plex Sans" w:cs="IBM Plex Sans"/>
          <w:color w:val="000000"/>
          <w:lang w:val="es-ES"/>
        </w:rPr>
      </w:pPr>
    </w:p>
    <w:p w14:paraId="60144565" w14:textId="77777777"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noProof/>
          <w:color w:val="000000"/>
          <w:lang w:val="es-ES"/>
        </w:rPr>
        <w:drawing>
          <wp:inline distT="0" distB="0" distL="0" distR="0" wp14:anchorId="7A04F80F" wp14:editId="2BAD4466">
            <wp:extent cx="5400040" cy="4144645"/>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400040" cy="4144645"/>
                    </a:xfrm>
                    <a:prstGeom prst="rect">
                      <a:avLst/>
                    </a:prstGeom>
                    <a:ln/>
                  </pic:spPr>
                </pic:pic>
              </a:graphicData>
            </a:graphic>
          </wp:inline>
        </w:drawing>
      </w:r>
    </w:p>
    <w:p w14:paraId="04B72942"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01B67C3B" w14:textId="3ED79066" w:rsidR="00FE5F65" w:rsidRPr="00974B41" w:rsidRDefault="00944A31">
      <w:pPr>
        <w:spacing w:after="0" w:line="240" w:lineRule="auto"/>
        <w:jc w:val="both"/>
        <w:rPr>
          <w:rFonts w:ascii="IBM Plex Sans" w:eastAsia="IBM Plex Sans" w:hAnsi="IBM Plex Sans" w:cs="IBM Plex Sans"/>
          <w:color w:val="000000"/>
          <w:lang w:val="es-ES"/>
        </w:rPr>
      </w:pPr>
      <w:r>
        <w:rPr>
          <w:rFonts w:ascii="IBM Plex Sans" w:eastAsia="IBM Plex Sans" w:hAnsi="IBM Plex Sans" w:cs="IBM Plex Sans"/>
          <w:color w:val="000000"/>
          <w:lang w:val="es-ES"/>
        </w:rPr>
        <w:t>Os</w:t>
      </w:r>
      <w:r w:rsidRPr="00974B41">
        <w:rPr>
          <w:rFonts w:ascii="IBM Plex Sans" w:eastAsia="IBM Plex Sans" w:hAnsi="IBM Plex Sans" w:cs="IBM Plex Sans"/>
          <w:color w:val="000000"/>
          <w:lang w:val="es-ES"/>
        </w:rPr>
        <w:t xml:space="preserve"> </w:t>
      </w:r>
      <w:r w:rsidR="00617248" w:rsidRPr="00974B41">
        <w:rPr>
          <w:rFonts w:ascii="IBM Plex Sans" w:eastAsia="IBM Plex Sans" w:hAnsi="IBM Plex Sans" w:cs="IBM Plex Sans"/>
          <w:color w:val="000000"/>
          <w:lang w:val="es-ES"/>
        </w:rPr>
        <w:t xml:space="preserve">invitamos a visitar la web </w:t>
      </w:r>
      <w:r>
        <w:rPr>
          <w:rFonts w:ascii="IBM Plex Sans" w:eastAsia="IBM Plex Sans" w:hAnsi="IBM Plex Sans" w:cs="IBM Plex Sans"/>
          <w:color w:val="000000"/>
          <w:lang w:val="es-ES"/>
        </w:rPr>
        <w:t>para</w:t>
      </w:r>
      <w:r w:rsidR="00617248" w:rsidRPr="00974B41">
        <w:rPr>
          <w:rFonts w:ascii="IBM Plex Sans" w:eastAsia="IBM Plex Sans" w:hAnsi="IBM Plex Sans" w:cs="IBM Plex Sans"/>
          <w:color w:val="000000"/>
          <w:lang w:val="es-ES"/>
        </w:rPr>
        <w:t xml:space="preserve"> conocer muchos más ejemplos</w:t>
      </w:r>
      <w:r>
        <w:rPr>
          <w:rFonts w:ascii="IBM Plex Sans" w:eastAsia="IBM Plex Sans" w:hAnsi="IBM Plex Sans" w:cs="IBM Plex Sans"/>
          <w:color w:val="000000"/>
          <w:lang w:val="es-ES"/>
        </w:rPr>
        <w:t>,</w:t>
      </w:r>
      <w:r w:rsidR="00617248" w:rsidRPr="00974B41">
        <w:rPr>
          <w:rFonts w:ascii="IBM Plex Sans" w:eastAsia="IBM Plex Sans" w:hAnsi="IBM Plex Sans" w:cs="IBM Plex Sans"/>
          <w:color w:val="000000"/>
          <w:lang w:val="es-ES"/>
        </w:rPr>
        <w:t xml:space="preserve"> seguramente muy cercanos a </w:t>
      </w:r>
      <w:r w:rsidR="004E4466">
        <w:rPr>
          <w:rFonts w:ascii="IBM Plex Sans" w:eastAsia="IBM Plex Sans" w:hAnsi="IBM Plex Sans" w:cs="IBM Plex Sans"/>
          <w:color w:val="000000"/>
          <w:lang w:val="es-ES"/>
        </w:rPr>
        <w:t>vuestro</w:t>
      </w:r>
      <w:r w:rsidR="004E4466" w:rsidRPr="00974B41">
        <w:rPr>
          <w:rFonts w:ascii="IBM Plex Sans" w:eastAsia="IBM Plex Sans" w:hAnsi="IBM Plex Sans" w:cs="IBM Plex Sans"/>
          <w:color w:val="000000"/>
          <w:lang w:val="es-ES"/>
        </w:rPr>
        <w:t xml:space="preserve"> </w:t>
      </w:r>
      <w:r w:rsidR="00617248" w:rsidRPr="00974B41">
        <w:rPr>
          <w:rFonts w:ascii="IBM Plex Sans" w:eastAsia="IBM Plex Sans" w:hAnsi="IBM Plex Sans" w:cs="IBM Plex Sans"/>
          <w:color w:val="000000"/>
          <w:lang w:val="es-ES"/>
        </w:rPr>
        <w:t>lugar de trabajo.</w:t>
      </w:r>
    </w:p>
    <w:p w14:paraId="50C8A033"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3BB6AA48" w14:textId="5C55A8A5"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Finalmente</w:t>
      </w:r>
      <w:r w:rsidR="004E4466">
        <w:rPr>
          <w:rFonts w:ascii="IBM Plex Sans" w:eastAsia="IBM Plex Sans" w:hAnsi="IBM Plex Sans" w:cs="IBM Plex Sans"/>
          <w:color w:val="000000"/>
          <w:lang w:val="es-ES"/>
        </w:rPr>
        <w:t>,</w:t>
      </w:r>
      <w:r w:rsidRPr="00974B41">
        <w:rPr>
          <w:rFonts w:ascii="IBM Plex Sans" w:eastAsia="IBM Plex Sans" w:hAnsi="IBM Plex Sans" w:cs="IBM Plex Sans"/>
          <w:color w:val="000000"/>
          <w:lang w:val="es-ES"/>
        </w:rPr>
        <w:t xml:space="preserve"> debe considerar</w:t>
      </w:r>
      <w:r w:rsidR="004657CF">
        <w:rPr>
          <w:rFonts w:ascii="IBM Plex Sans" w:eastAsia="IBM Plex Sans" w:hAnsi="IBM Plex Sans" w:cs="IBM Plex Sans"/>
          <w:color w:val="000000"/>
          <w:lang w:val="es-ES"/>
        </w:rPr>
        <w:t>se</w:t>
      </w:r>
      <w:r w:rsidRPr="00974B41">
        <w:rPr>
          <w:rFonts w:ascii="IBM Plex Sans" w:eastAsia="IBM Plex Sans" w:hAnsi="IBM Plex Sans" w:cs="IBM Plex Sans"/>
          <w:color w:val="000000"/>
          <w:lang w:val="es-ES"/>
        </w:rPr>
        <w:t xml:space="preserve"> que las empresas </w:t>
      </w:r>
      <w:r w:rsidR="004657CF">
        <w:rPr>
          <w:rFonts w:ascii="IBM Plex Sans" w:eastAsia="IBM Plex Sans" w:hAnsi="IBM Plex Sans" w:cs="IBM Plex Sans"/>
          <w:color w:val="000000"/>
          <w:lang w:val="es-ES"/>
        </w:rPr>
        <w:t xml:space="preserve">asuman </w:t>
      </w:r>
      <w:r w:rsidRPr="00974B41">
        <w:rPr>
          <w:rFonts w:ascii="IBM Plex Sans" w:eastAsia="IBM Plex Sans" w:hAnsi="IBM Plex Sans" w:cs="IBM Plex Sans"/>
          <w:color w:val="000000"/>
          <w:lang w:val="es-ES"/>
        </w:rPr>
        <w:t xml:space="preserve">también la responsabilidad de sus acciones y </w:t>
      </w:r>
      <w:r w:rsidR="004657CF">
        <w:rPr>
          <w:rFonts w:ascii="IBM Plex Sans" w:eastAsia="IBM Plex Sans" w:hAnsi="IBM Plex Sans" w:cs="IBM Plex Sans"/>
          <w:color w:val="000000"/>
          <w:lang w:val="es-ES"/>
        </w:rPr>
        <w:t>adopten</w:t>
      </w:r>
      <w:r w:rsidR="004657CF" w:rsidRPr="00974B41">
        <w:rPr>
          <w:rFonts w:ascii="IBM Plex Sans" w:eastAsia="IBM Plex Sans" w:hAnsi="IBM Plex Sans" w:cs="IBM Plex Sans"/>
          <w:color w:val="000000"/>
          <w:lang w:val="es-ES"/>
        </w:rPr>
        <w:t xml:space="preserve"> </w:t>
      </w:r>
      <w:r w:rsidRPr="00974B41">
        <w:rPr>
          <w:rFonts w:ascii="IBM Plex Sans" w:eastAsia="IBM Plex Sans" w:hAnsi="IBM Plex Sans" w:cs="IBM Plex Sans"/>
          <w:color w:val="000000"/>
          <w:lang w:val="es-ES"/>
        </w:rPr>
        <w:t>prácticas de Responsabilidad Social Corporativa (RSC). La RSC se refiere a la responsabilidad que las empresas tienen hacia la sociedad y el medio ambiente en el que operan. Las empresas pueden adoptar prácticas de RSC a través de la implementación de prácticas empresariales éticas, la promoción de la diversidad y la inclusión, la adopción de prácticas laborales justas y la realización de actividades filantrópicas.</w:t>
      </w:r>
    </w:p>
    <w:p w14:paraId="69AF7042" w14:textId="245006C4" w:rsidR="00FE5F65" w:rsidRPr="00974B41" w:rsidRDefault="00617248">
      <w:p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La RSC puede ser beneficiosa para las empresas, ya que puede mejorar la percepción de la empresa por parte de los consumidores y la satisfacción de sus trabajadores</w:t>
      </w:r>
      <w:r w:rsidR="004026F3">
        <w:rPr>
          <w:rFonts w:ascii="IBM Plex Sans" w:eastAsia="IBM Plex Sans" w:hAnsi="IBM Plex Sans" w:cs="IBM Plex Sans"/>
          <w:color w:val="000000"/>
          <w:lang w:val="es-ES"/>
        </w:rPr>
        <w:t xml:space="preserve">, lo cual </w:t>
      </w:r>
      <w:r w:rsidR="00CE18F1">
        <w:rPr>
          <w:rFonts w:ascii="IBM Plex Sans" w:eastAsia="IBM Plex Sans" w:hAnsi="IBM Plex Sans" w:cs="IBM Plex Sans"/>
          <w:color w:val="000000"/>
          <w:lang w:val="es-ES"/>
        </w:rPr>
        <w:t>fortalecerá</w:t>
      </w:r>
      <w:r w:rsidRPr="00974B41">
        <w:rPr>
          <w:rFonts w:ascii="IBM Plex Sans" w:eastAsia="IBM Plex Sans" w:hAnsi="IBM Plex Sans" w:cs="IBM Plex Sans"/>
          <w:color w:val="000000"/>
          <w:lang w:val="es-ES"/>
        </w:rPr>
        <w:t xml:space="preserve"> su compromiso con la misión de la empresa.</w:t>
      </w:r>
    </w:p>
    <w:p w14:paraId="0A728798"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66C8901C" w14:textId="77777777" w:rsidR="00FE5F65" w:rsidRPr="00974B41" w:rsidRDefault="00FE5F65">
      <w:pPr>
        <w:spacing w:after="0" w:line="240" w:lineRule="auto"/>
        <w:jc w:val="both"/>
        <w:rPr>
          <w:rFonts w:ascii="IBM Plex Sans" w:eastAsia="IBM Plex Sans" w:hAnsi="IBM Plex Sans" w:cs="IBM Plex Sans"/>
          <w:b/>
          <w:color w:val="000000"/>
          <w:lang w:val="es-ES"/>
        </w:rPr>
      </w:pPr>
    </w:p>
    <w:p w14:paraId="374D5D5C" w14:textId="77777777" w:rsidR="00FE5F65" w:rsidRPr="00974B41" w:rsidRDefault="00FE5F65">
      <w:pPr>
        <w:spacing w:after="0" w:line="240" w:lineRule="auto"/>
        <w:jc w:val="both"/>
        <w:rPr>
          <w:rFonts w:ascii="IBM Plex Sans" w:eastAsia="IBM Plex Sans" w:hAnsi="IBM Plex Sans" w:cs="IBM Plex Sans"/>
          <w:b/>
          <w:color w:val="000000"/>
          <w:lang w:val="es-ES"/>
        </w:rPr>
      </w:pPr>
    </w:p>
    <w:p w14:paraId="2E036E6F" w14:textId="77777777" w:rsidR="00FE5F65" w:rsidRPr="00974B41" w:rsidRDefault="00FE5F65">
      <w:pPr>
        <w:spacing w:after="0" w:line="240" w:lineRule="auto"/>
        <w:jc w:val="both"/>
        <w:rPr>
          <w:rFonts w:ascii="IBM Plex Sans" w:eastAsia="IBM Plex Sans" w:hAnsi="IBM Plex Sans" w:cs="IBM Plex Sans"/>
          <w:b/>
          <w:color w:val="000000"/>
          <w:lang w:val="es-ES"/>
        </w:rPr>
      </w:pPr>
    </w:p>
    <w:p w14:paraId="54B07443" w14:textId="77777777" w:rsidR="00FE5F65" w:rsidRPr="00974B41" w:rsidRDefault="00FE5F65">
      <w:pPr>
        <w:spacing w:after="0" w:line="240" w:lineRule="auto"/>
        <w:jc w:val="both"/>
        <w:rPr>
          <w:rFonts w:ascii="IBM Plex Sans" w:eastAsia="IBM Plex Sans" w:hAnsi="IBM Plex Sans" w:cs="IBM Plex Sans"/>
          <w:b/>
          <w:color w:val="000000"/>
          <w:lang w:val="es-ES"/>
        </w:rPr>
      </w:pPr>
    </w:p>
    <w:p w14:paraId="10690350" w14:textId="77777777" w:rsidR="00FE5F65" w:rsidRPr="00974B41" w:rsidRDefault="00FE5F65">
      <w:pPr>
        <w:spacing w:after="0" w:line="240" w:lineRule="auto"/>
        <w:jc w:val="both"/>
        <w:rPr>
          <w:rFonts w:ascii="IBM Plex Sans" w:eastAsia="IBM Plex Sans" w:hAnsi="IBM Plex Sans" w:cs="IBM Plex Sans"/>
          <w:b/>
          <w:color w:val="000000"/>
          <w:lang w:val="es-ES"/>
        </w:rPr>
      </w:pPr>
    </w:p>
    <w:p w14:paraId="27B0C6CA" w14:textId="77777777" w:rsidR="00FE5F65" w:rsidRPr="00974B41" w:rsidRDefault="00FE5F65">
      <w:pPr>
        <w:spacing w:after="0" w:line="240" w:lineRule="auto"/>
        <w:jc w:val="both"/>
        <w:rPr>
          <w:rFonts w:ascii="IBM Plex Sans" w:eastAsia="IBM Plex Sans" w:hAnsi="IBM Plex Sans" w:cs="IBM Plex Sans"/>
          <w:b/>
          <w:color w:val="000000"/>
          <w:lang w:val="es-ES"/>
        </w:rPr>
      </w:pPr>
    </w:p>
    <w:p w14:paraId="43C70C19" w14:textId="77777777" w:rsidR="00FE5F65" w:rsidRPr="00974B41" w:rsidRDefault="00FE5F65">
      <w:pPr>
        <w:spacing w:after="0" w:line="240" w:lineRule="auto"/>
        <w:jc w:val="both"/>
        <w:rPr>
          <w:rFonts w:ascii="IBM Plex Sans" w:eastAsia="IBM Plex Sans" w:hAnsi="IBM Plex Sans" w:cs="IBM Plex Sans"/>
          <w:b/>
          <w:color w:val="000000"/>
          <w:lang w:val="es-ES"/>
        </w:rPr>
      </w:pPr>
    </w:p>
    <w:p w14:paraId="4627F752" w14:textId="77777777" w:rsidR="00FE5F65" w:rsidRPr="00974B41" w:rsidRDefault="00617248">
      <w:pPr>
        <w:pStyle w:val="Ttulo1"/>
        <w:spacing w:line="240" w:lineRule="auto"/>
        <w:jc w:val="both"/>
        <w:rPr>
          <w:lang w:val="es-ES"/>
        </w:rPr>
      </w:pPr>
      <w:bookmarkStart w:id="5" w:name="_Toc139015863"/>
      <w:r w:rsidRPr="00974B41">
        <w:rPr>
          <w:lang w:val="es-ES"/>
        </w:rPr>
        <w:t>Referencias Bibliográficas</w:t>
      </w:r>
      <w:bookmarkEnd w:id="5"/>
    </w:p>
    <w:p w14:paraId="0647CF46" w14:textId="77777777" w:rsidR="00FE5F65" w:rsidRPr="00974B41" w:rsidRDefault="00FE5F65">
      <w:pPr>
        <w:widowControl w:val="0"/>
        <w:spacing w:after="0" w:line="240" w:lineRule="auto"/>
        <w:jc w:val="both"/>
        <w:rPr>
          <w:rFonts w:ascii="IBM Plex Sans" w:eastAsia="IBM Plex Sans" w:hAnsi="IBM Plex Sans" w:cs="IBM Plex Sans"/>
          <w:color w:val="000000"/>
          <w:lang w:val="es-ES"/>
        </w:rPr>
      </w:pPr>
    </w:p>
    <w:p w14:paraId="0BE752AD" w14:textId="617CDC53" w:rsidR="00FE5F65" w:rsidRPr="00974B41" w:rsidRDefault="00617248" w:rsidP="00974B41">
      <w:pPr>
        <w:pStyle w:val="Prrafodelista"/>
        <w:numPr>
          <w:ilvl w:val="0"/>
          <w:numId w:val="19"/>
        </w:numPr>
        <w:jc w:val="both"/>
        <w:rPr>
          <w:lang w:val="es-ES"/>
        </w:rPr>
      </w:pPr>
      <w:r w:rsidRPr="00974B41">
        <w:rPr>
          <w:lang w:val="es-ES"/>
        </w:rPr>
        <w:t xml:space="preserve">Ruiz-Bernardo, P.; Montañés Cruz, C.; Núñez Huerta, B. y Cubillas Villalba, M. (2022) La participación comunitaria para una sociedad sostenible. Función social del pedagogo y el psicopedagogo. CRÓNICA: REVISTA CIENTÍFICO PROFESIONAL DE LA PEDAGOGÍA Y LA PSICOPEDAGOGÍA. </w:t>
      </w:r>
      <w:proofErr w:type="spellStart"/>
      <w:r w:rsidRPr="00974B41">
        <w:rPr>
          <w:lang w:val="es-ES"/>
        </w:rPr>
        <w:t>Num</w:t>
      </w:r>
      <w:proofErr w:type="spellEnd"/>
      <w:r w:rsidRPr="00974B41">
        <w:rPr>
          <w:lang w:val="es-ES"/>
        </w:rPr>
        <w:t>. 7. pp. 93-105.</w:t>
      </w:r>
    </w:p>
    <w:p w14:paraId="445B6AB3" w14:textId="77777777" w:rsidR="00FE5F65" w:rsidRPr="00974B41" w:rsidRDefault="00FE5F65" w:rsidP="00974B41">
      <w:pPr>
        <w:spacing w:after="0" w:line="240" w:lineRule="auto"/>
        <w:jc w:val="both"/>
        <w:rPr>
          <w:rFonts w:ascii="IBM Plex Sans" w:eastAsia="IBM Plex Sans" w:hAnsi="IBM Plex Sans" w:cs="IBM Plex Sans"/>
          <w:color w:val="000000"/>
          <w:lang w:val="es-ES"/>
        </w:rPr>
      </w:pPr>
    </w:p>
    <w:p w14:paraId="0219232F" w14:textId="2229C39E" w:rsidR="00FE5F65" w:rsidRPr="00974B41" w:rsidRDefault="00974B41" w:rsidP="00974B41">
      <w:pPr>
        <w:pStyle w:val="Prrafodelista"/>
        <w:numPr>
          <w:ilvl w:val="0"/>
          <w:numId w:val="19"/>
        </w:numPr>
        <w:pBdr>
          <w:top w:val="nil"/>
          <w:left w:val="nil"/>
          <w:bottom w:val="nil"/>
          <w:right w:val="nil"/>
          <w:between w:val="nil"/>
        </w:pBdr>
        <w:jc w:val="both"/>
        <w:rPr>
          <w:lang w:val="es-ES"/>
        </w:rPr>
      </w:pPr>
      <w:r>
        <w:rPr>
          <w:lang w:val="es-ES"/>
        </w:rPr>
        <w:t>Ruiz-B</w:t>
      </w:r>
      <w:r w:rsidR="00617248" w:rsidRPr="00974B41">
        <w:rPr>
          <w:lang w:val="es-ES"/>
        </w:rPr>
        <w:t xml:space="preserve">ernardo, </w:t>
      </w:r>
      <w:r>
        <w:rPr>
          <w:lang w:val="es-ES"/>
        </w:rPr>
        <w:t>P.</w:t>
      </w:r>
      <w:r w:rsidR="00617248" w:rsidRPr="00974B41">
        <w:rPr>
          <w:lang w:val="es-ES"/>
        </w:rPr>
        <w:t xml:space="preserve">, </w:t>
      </w:r>
      <w:r>
        <w:rPr>
          <w:lang w:val="es-ES"/>
        </w:rPr>
        <w:t xml:space="preserve">Montañés </w:t>
      </w:r>
      <w:r w:rsidR="00617248" w:rsidRPr="00974B41">
        <w:rPr>
          <w:lang w:val="es-ES"/>
        </w:rPr>
        <w:t xml:space="preserve">Cruz, C., </w:t>
      </w:r>
      <w:r>
        <w:rPr>
          <w:lang w:val="es-ES"/>
        </w:rPr>
        <w:t xml:space="preserve">Sanahuja </w:t>
      </w:r>
      <w:proofErr w:type="spellStart"/>
      <w:r w:rsidR="00617248" w:rsidRPr="00974B41">
        <w:rPr>
          <w:lang w:val="es-ES"/>
        </w:rPr>
        <w:t>Ribés</w:t>
      </w:r>
      <w:proofErr w:type="spellEnd"/>
      <w:r w:rsidR="00617248" w:rsidRPr="00974B41">
        <w:rPr>
          <w:lang w:val="es-ES"/>
        </w:rPr>
        <w:t xml:space="preserve">, A. &amp; </w:t>
      </w:r>
      <w:r>
        <w:rPr>
          <w:lang w:val="es-ES"/>
        </w:rPr>
        <w:t>Sánchez-</w:t>
      </w:r>
      <w:proofErr w:type="spellStart"/>
      <w:r w:rsidR="00617248" w:rsidRPr="00974B41">
        <w:rPr>
          <w:lang w:val="es-ES"/>
        </w:rPr>
        <w:t>Tarazaga</w:t>
      </w:r>
      <w:proofErr w:type="spellEnd"/>
      <w:r w:rsidR="00617248" w:rsidRPr="00974B41">
        <w:rPr>
          <w:lang w:val="es-ES"/>
        </w:rPr>
        <w:t xml:space="preserve">, L. (2023) </w:t>
      </w:r>
      <w:proofErr w:type="spellStart"/>
      <w:r w:rsidR="00617248" w:rsidRPr="00974B41">
        <w:rPr>
          <w:lang w:val="es-ES"/>
        </w:rPr>
        <w:t>E</w:t>
      </w:r>
      <w:r>
        <w:rPr>
          <w:lang w:val="es-ES"/>
        </w:rPr>
        <w:t>n</w:t>
      </w:r>
      <w:r w:rsidR="00617248" w:rsidRPr="00974B41">
        <w:rPr>
          <w:lang w:val="es-ES"/>
        </w:rPr>
        <w:t>cultura</w:t>
      </w:r>
      <w:proofErr w:type="spellEnd"/>
      <w:r w:rsidR="00617248" w:rsidRPr="00974B41">
        <w:rPr>
          <w:lang w:val="es-ES"/>
        </w:rPr>
        <w:t xml:space="preserve"> de participación: creación de la ruta ODS en Borriol mediante la participación juvenil. </w:t>
      </w:r>
      <w:r>
        <w:rPr>
          <w:lang w:val="es-ES"/>
        </w:rPr>
        <w:t>E</w:t>
      </w:r>
      <w:r w:rsidR="00617248" w:rsidRPr="00974B41">
        <w:rPr>
          <w:lang w:val="es-ES"/>
        </w:rPr>
        <w:t>n Artes y salud. Calidad de vida en los entornos sociales y educativos (pp. 7-14). Dykinson.</w:t>
      </w:r>
    </w:p>
    <w:p w14:paraId="1967607F" w14:textId="77777777" w:rsidR="00FE5F65" w:rsidRPr="00974B41" w:rsidRDefault="00617248" w:rsidP="00974B41">
      <w:pPr>
        <w:pStyle w:val="Ttulo1"/>
        <w:spacing w:line="240" w:lineRule="auto"/>
        <w:jc w:val="both"/>
        <w:rPr>
          <w:lang w:val="es-ES"/>
        </w:rPr>
      </w:pPr>
      <w:bookmarkStart w:id="6" w:name="_Toc139015864"/>
      <w:r w:rsidRPr="00974B41">
        <w:rPr>
          <w:lang w:val="es-ES"/>
        </w:rPr>
        <w:t>Webgrafía</w:t>
      </w:r>
      <w:bookmarkEnd w:id="6"/>
    </w:p>
    <w:p w14:paraId="2DEDB83D" w14:textId="77777777" w:rsidR="00FE5F65" w:rsidRPr="00974B41" w:rsidRDefault="00FE5F65">
      <w:pPr>
        <w:spacing w:after="0" w:line="240" w:lineRule="auto"/>
        <w:jc w:val="both"/>
        <w:rPr>
          <w:rFonts w:ascii="IBM Plex Sans" w:eastAsia="IBM Plex Sans" w:hAnsi="IBM Plex Sans" w:cs="IBM Plex Sans"/>
          <w:color w:val="000000"/>
          <w:lang w:val="es-ES"/>
        </w:rPr>
      </w:pPr>
    </w:p>
    <w:p w14:paraId="13C1CD4F" w14:textId="77777777" w:rsidR="00FE5F65" w:rsidRPr="00974B41" w:rsidRDefault="00617248" w:rsidP="00974B41">
      <w:pPr>
        <w:pStyle w:val="Prrafodelista"/>
        <w:numPr>
          <w:ilvl w:val="0"/>
          <w:numId w:val="20"/>
        </w:numPr>
        <w:spacing w:after="0" w:line="240" w:lineRule="auto"/>
        <w:jc w:val="both"/>
        <w:rPr>
          <w:rFonts w:ascii="IBM Plex Sans" w:eastAsia="IBM Plex Sans" w:hAnsi="IBM Plex Sans" w:cs="IBM Plex Sans"/>
          <w:color w:val="000000"/>
          <w:lang w:val="es-ES"/>
        </w:rPr>
      </w:pPr>
      <w:r w:rsidRPr="00974B41">
        <w:rPr>
          <w:rFonts w:ascii="IBM Plex Sans" w:eastAsia="IBM Plex Sans" w:hAnsi="IBM Plex Sans" w:cs="IBM Plex Sans"/>
          <w:color w:val="000000"/>
          <w:lang w:val="es-ES"/>
        </w:rPr>
        <w:t>https://www.pactomundial.org/que-puedes-hacer-tu/diez-principios/</w:t>
      </w:r>
    </w:p>
    <w:p w14:paraId="0CEE1EAD" w14:textId="77777777" w:rsidR="00FE5F65" w:rsidRPr="00974B41" w:rsidRDefault="00FE5F65">
      <w:pPr>
        <w:spacing w:after="0" w:line="276" w:lineRule="auto"/>
        <w:jc w:val="both"/>
        <w:rPr>
          <w:rFonts w:ascii="EB Garamond" w:eastAsia="EB Garamond" w:hAnsi="EB Garamond" w:cs="EB Garamond"/>
          <w:color w:val="000000"/>
          <w:sz w:val="20"/>
          <w:szCs w:val="20"/>
          <w:lang w:val="es-ES"/>
        </w:rPr>
      </w:pPr>
    </w:p>
    <w:p w14:paraId="261B978F" w14:textId="77777777" w:rsidR="00FE5F65" w:rsidRPr="00974B41" w:rsidRDefault="00FE5F65">
      <w:pPr>
        <w:rPr>
          <w:lang w:val="es-ES"/>
        </w:rPr>
        <w:sectPr w:rsidR="00FE5F65" w:rsidRPr="00974B41">
          <w:headerReference w:type="first" r:id="rId18"/>
          <w:footerReference w:type="first" r:id="rId19"/>
          <w:pgSz w:w="11906" w:h="16838"/>
          <w:pgMar w:top="1440" w:right="1077" w:bottom="1440" w:left="1077" w:header="709" w:footer="709" w:gutter="0"/>
          <w:pgNumType w:start="1"/>
          <w:cols w:space="708"/>
          <w:titlePg/>
        </w:sectPr>
      </w:pPr>
    </w:p>
    <w:p w14:paraId="0B921215" w14:textId="77777777" w:rsidR="00FE5F65" w:rsidRPr="00974B41" w:rsidRDefault="00617248">
      <w:pPr>
        <w:rPr>
          <w:sz w:val="26"/>
          <w:szCs w:val="26"/>
          <w:lang w:val="es-ES"/>
        </w:rPr>
      </w:pPr>
      <w:r w:rsidRPr="00974B41">
        <w:rPr>
          <w:noProof/>
          <w:lang w:val="es-ES"/>
        </w:rPr>
        <w:lastRenderedPageBreak/>
        <mc:AlternateContent>
          <mc:Choice Requires="wps">
            <w:drawing>
              <wp:anchor distT="0" distB="0" distL="0" distR="0" simplePos="0" relativeHeight="251663360" behindDoc="1" locked="0" layoutInCell="1" hidden="0" allowOverlap="1" wp14:anchorId="3125B4BA" wp14:editId="0E931BD7">
                <wp:simplePos x="0" y="0"/>
                <wp:positionH relativeFrom="column">
                  <wp:posOffset>-685799</wp:posOffset>
                </wp:positionH>
                <wp:positionV relativeFrom="paragraph">
                  <wp:posOffset>-901699</wp:posOffset>
                </wp:positionV>
                <wp:extent cx="7667625" cy="13902055"/>
                <wp:effectExtent l="0" t="0" r="0" b="0"/>
                <wp:wrapNone/>
                <wp:docPr id="32" name=""/>
                <wp:cNvGraphicFramePr/>
                <a:graphic xmlns:a="http://schemas.openxmlformats.org/drawingml/2006/main">
                  <a:graphicData uri="http://schemas.microsoft.com/office/word/2010/wordprocessingShape">
                    <wps:wsp>
                      <wps:cNvSpPr/>
                      <wps:spPr>
                        <a:xfrm>
                          <a:off x="1518538" y="0"/>
                          <a:ext cx="7654925" cy="7560000"/>
                        </a:xfrm>
                        <a:prstGeom prst="rect">
                          <a:avLst/>
                        </a:prstGeom>
                        <a:solidFill>
                          <a:srgbClr val="003864"/>
                        </a:solidFill>
                        <a:ln w="12700" cap="flat" cmpd="sng">
                          <a:solidFill>
                            <a:srgbClr val="31538F"/>
                          </a:solidFill>
                          <a:prstDash val="solid"/>
                          <a:miter lim="800000"/>
                          <a:headEnd type="none" w="sm" len="sm"/>
                          <a:tailEnd type="none" w="sm" len="sm"/>
                        </a:ln>
                      </wps:spPr>
                      <wps:txbx>
                        <w:txbxContent>
                          <w:p w14:paraId="2B059D50" w14:textId="77777777" w:rsidR="00FE5F65" w:rsidRDefault="00FE5F6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125B4BA" id="_x0000_s1029" style="position:absolute;margin-left:-54pt;margin-top:-71pt;width:603.75pt;height:1094.6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" fillcolor="#003864" strokecolor="#31538f" strokeweight="1pt">
                <v:stroke startarrowwidth="narrow" startarrowlength="short" endarrowwidth="narrow" endarrowlength="short"/>
                <v:textbox inset="2.53958mm,2.53958mm,2.53958mm,2.53958mm">
                  <w:txbxContent>
                    <w:p w14:paraId="2B059D50" w14:textId="77777777" w:rsidR="00FE5F65" w:rsidRDefault="00FE5F65">
                      <w:pPr>
                        <w:spacing w:after="0" w:line="240" w:lineRule="auto"/>
                        <w:textDirection w:val="btLr"/>
                      </w:pPr>
                    </w:p>
                  </w:txbxContent>
                </v:textbox>
              </v:rect>
            </w:pict>
          </mc:Fallback>
        </mc:AlternateContent>
      </w:r>
      <w:r w:rsidRPr="00974B41">
        <w:rPr>
          <w:noProof/>
          <w:lang w:val="es-ES"/>
        </w:rPr>
        <mc:AlternateContent>
          <mc:Choice Requires="wps">
            <w:drawing>
              <wp:anchor distT="0" distB="0" distL="114300" distR="114300" simplePos="0" relativeHeight="251664384" behindDoc="0" locked="0" layoutInCell="1" hidden="0" allowOverlap="1" wp14:anchorId="3C9FB988" wp14:editId="569D799C">
                <wp:simplePos x="0" y="0"/>
                <wp:positionH relativeFrom="column">
                  <wp:posOffset>4699000</wp:posOffset>
                </wp:positionH>
                <wp:positionV relativeFrom="paragraph">
                  <wp:posOffset>8470900</wp:posOffset>
                </wp:positionV>
                <wp:extent cx="1360170" cy="381000"/>
                <wp:effectExtent l="0" t="0" r="0" b="0"/>
                <wp:wrapSquare wrapText="bothSides" distT="0" distB="0" distL="114300" distR="114300"/>
                <wp:docPr id="29" name=""/>
                <wp:cNvGraphicFramePr/>
                <a:graphic xmlns:a="http://schemas.openxmlformats.org/drawingml/2006/main">
                  <a:graphicData uri="http://schemas.microsoft.com/office/word/2010/wordprocessingShape">
                    <wps:wsp>
                      <wps:cNvSpPr/>
                      <wps:spPr>
                        <a:xfrm>
                          <a:off x="4670678" y="3594263"/>
                          <a:ext cx="1350645" cy="371475"/>
                        </a:xfrm>
                        <a:prstGeom prst="rect">
                          <a:avLst/>
                        </a:prstGeom>
                        <a:noFill/>
                        <a:ln>
                          <a:noFill/>
                        </a:ln>
                      </wps:spPr>
                      <wps:txbx>
                        <w:txbxContent>
                          <w:p w14:paraId="2DEF24C5" w14:textId="77777777" w:rsidR="00FE5F65" w:rsidRDefault="00617248">
                            <w:pPr>
                              <w:spacing w:line="240" w:lineRule="auto"/>
                              <w:jc w:val="right"/>
                              <w:textDirection w:val="btLr"/>
                            </w:pPr>
                            <w:r>
                              <w:rPr>
                                <w:b/>
                                <w:color w:val="FFFFFF"/>
                              </w:rPr>
                              <w:t>#</w:t>
                            </w:r>
                            <w:proofErr w:type="spellStart"/>
                            <w:r>
                              <w:rPr>
                                <w:b/>
                                <w:color w:val="FFFFFF"/>
                              </w:rPr>
                              <w:t>ProDigital</w:t>
                            </w:r>
                            <w:proofErr w:type="spellEnd"/>
                          </w:p>
                          <w:p w14:paraId="4A6266AB" w14:textId="77777777" w:rsidR="00FE5F65" w:rsidRDefault="00FE5F65">
                            <w:pPr>
                              <w:spacing w:line="240" w:lineRule="auto"/>
                              <w:jc w:val="right"/>
                              <w:textDirection w:val="btLr"/>
                            </w:pPr>
                          </w:p>
                          <w:p w14:paraId="3C098470" w14:textId="77777777" w:rsidR="00FE5F65" w:rsidRDefault="00FE5F65">
                            <w:pPr>
                              <w:spacing w:line="240" w:lineRule="auto"/>
                              <w:jc w:val="right"/>
                              <w:textDirection w:val="btLr"/>
                            </w:pPr>
                          </w:p>
                          <w:p w14:paraId="542AA01E" w14:textId="77777777" w:rsidR="00FE5F65" w:rsidRDefault="00FE5F65">
                            <w:pPr>
                              <w:spacing w:line="240" w:lineRule="auto"/>
                              <w:jc w:val="right"/>
                              <w:textDirection w:val="btLr"/>
                            </w:pPr>
                          </w:p>
                          <w:p w14:paraId="024D7A2A" w14:textId="77777777" w:rsidR="00FE5F65" w:rsidRDefault="00FE5F65">
                            <w:pPr>
                              <w:spacing w:line="240" w:lineRule="auto"/>
                              <w:jc w:val="right"/>
                              <w:textDirection w:val="btLr"/>
                            </w:pPr>
                          </w:p>
                          <w:p w14:paraId="715459DF" w14:textId="77777777" w:rsidR="00FE5F65" w:rsidRDefault="00FE5F65">
                            <w:pPr>
                              <w:spacing w:line="240" w:lineRule="auto"/>
                              <w:jc w:val="right"/>
                              <w:textDirection w:val="btLr"/>
                            </w:pPr>
                          </w:p>
                          <w:p w14:paraId="4C08BE31" w14:textId="77777777" w:rsidR="00FE5F65" w:rsidRDefault="00FE5F65">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3C9FB988" id="_x0000_s1030" style="position:absolute;margin-left:370pt;margin-top:667pt;width:107.1pt;height:3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" filled="f" stroked="f">
                <v:textbox inset="2.53958mm,1.2694mm,2.53958mm,1.2694mm">
                  <w:txbxContent>
                    <w:p w14:paraId="2DEF24C5" w14:textId="77777777" w:rsidR="00FE5F65" w:rsidRDefault="00617248">
                      <w:pPr>
                        <w:spacing w:line="240" w:lineRule="auto"/>
                        <w:jc w:val="right"/>
                        <w:textDirection w:val="btLr"/>
                      </w:pPr>
                      <w:r>
                        <w:rPr>
                          <w:b/>
                          <w:color w:val="FFFFFF"/>
                        </w:rPr>
                        <w:t>#</w:t>
                      </w:r>
                      <w:proofErr w:type="spellStart"/>
                      <w:r>
                        <w:rPr>
                          <w:b/>
                          <w:color w:val="FFFFFF"/>
                        </w:rPr>
                        <w:t>ProDigital</w:t>
                      </w:r>
                      <w:proofErr w:type="spellEnd"/>
                    </w:p>
                    <w:p w14:paraId="4A6266AB" w14:textId="77777777" w:rsidR="00FE5F65" w:rsidRDefault="00FE5F65">
                      <w:pPr>
                        <w:spacing w:line="240" w:lineRule="auto"/>
                        <w:jc w:val="right"/>
                        <w:textDirection w:val="btLr"/>
                      </w:pPr>
                    </w:p>
                    <w:p w14:paraId="3C098470" w14:textId="77777777" w:rsidR="00FE5F65" w:rsidRDefault="00FE5F65">
                      <w:pPr>
                        <w:spacing w:line="240" w:lineRule="auto"/>
                        <w:jc w:val="right"/>
                        <w:textDirection w:val="btLr"/>
                      </w:pPr>
                    </w:p>
                    <w:p w14:paraId="542AA01E" w14:textId="77777777" w:rsidR="00FE5F65" w:rsidRDefault="00FE5F65">
                      <w:pPr>
                        <w:spacing w:line="240" w:lineRule="auto"/>
                        <w:jc w:val="right"/>
                        <w:textDirection w:val="btLr"/>
                      </w:pPr>
                    </w:p>
                    <w:p w14:paraId="024D7A2A" w14:textId="77777777" w:rsidR="00FE5F65" w:rsidRDefault="00FE5F65">
                      <w:pPr>
                        <w:spacing w:line="240" w:lineRule="auto"/>
                        <w:jc w:val="right"/>
                        <w:textDirection w:val="btLr"/>
                      </w:pPr>
                    </w:p>
                    <w:p w14:paraId="715459DF" w14:textId="77777777" w:rsidR="00FE5F65" w:rsidRDefault="00FE5F65">
                      <w:pPr>
                        <w:spacing w:line="240" w:lineRule="auto"/>
                        <w:jc w:val="right"/>
                        <w:textDirection w:val="btLr"/>
                      </w:pPr>
                    </w:p>
                    <w:p w14:paraId="4C08BE31" w14:textId="77777777" w:rsidR="00FE5F65" w:rsidRDefault="00FE5F65">
                      <w:pPr>
                        <w:spacing w:line="240" w:lineRule="auto"/>
                        <w:jc w:val="right"/>
                        <w:textDirection w:val="btLr"/>
                      </w:pPr>
                    </w:p>
                  </w:txbxContent>
                </v:textbox>
                <w10:wrap type="square"/>
              </v:rect>
            </w:pict>
          </mc:Fallback>
        </mc:AlternateContent>
      </w:r>
      <w:r w:rsidRPr="00974B41">
        <w:rPr>
          <w:noProof/>
          <w:lang w:val="es-ES"/>
        </w:rPr>
        <w:drawing>
          <wp:anchor distT="0" distB="0" distL="114300" distR="114300" simplePos="0" relativeHeight="251665408" behindDoc="0" locked="0" layoutInCell="1" hidden="0" allowOverlap="1" wp14:anchorId="724F4264" wp14:editId="65B2E5AB">
            <wp:simplePos x="0" y="0"/>
            <wp:positionH relativeFrom="column">
              <wp:posOffset>216535</wp:posOffset>
            </wp:positionH>
            <wp:positionV relativeFrom="paragraph">
              <wp:posOffset>8460105</wp:posOffset>
            </wp:positionV>
            <wp:extent cx="1894205" cy="396240"/>
            <wp:effectExtent l="0" t="0" r="0" b="0"/>
            <wp:wrapSquare wrapText="bothSides" distT="0" distB="0" distL="114300" distR="11430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94205" cy="396240"/>
                    </a:xfrm>
                    <a:prstGeom prst="rect">
                      <a:avLst/>
                    </a:prstGeom>
                    <a:ln/>
                  </pic:spPr>
                </pic:pic>
              </a:graphicData>
            </a:graphic>
          </wp:anchor>
        </w:drawing>
      </w:r>
    </w:p>
    <w:sectPr w:rsidR="00FE5F65" w:rsidRPr="00974B41">
      <w:footerReference w:type="first" r:id="rId20"/>
      <w:pgSz w:w="11906" w:h="16838"/>
      <w:pgMar w:top="1440" w:right="1077" w:bottom="1440" w:left="1077" w:header="709" w:footer="709" w:gutter="0"/>
      <w:pgNumType w:start="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AAD5F" w16cex:dateUtc="2023-06-19T08:33:00Z"/>
  <w16cex:commentExtensible w16cex:durableId="283ACDFC" w16cex:dateUtc="2023-06-19T10:52:00Z"/>
  <w16cex:commentExtensible w16cex:durableId="283AD15A" w16cex:dateUtc="2023-06-19T11:06:00Z"/>
  <w16cex:commentExtensible w16cex:durableId="283B34BF" w16cex:dateUtc="2023-06-19T18:10:00Z"/>
  <w16cex:commentExtensible w16cex:durableId="283B3BDE" w16cex:dateUtc="2023-06-19T18:41:00Z"/>
  <w16cex:commentExtensible w16cex:durableId="283B3D04" w16cex:dateUtc="2023-06-19T18:45:00Z"/>
  <w16cex:commentExtensible w16cex:durableId="283B3D12" w16cex:dateUtc="2023-06-19T18: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13373" w14:textId="77777777" w:rsidR="00492D2E" w:rsidRDefault="00617248">
      <w:pPr>
        <w:spacing w:after="0" w:line="240" w:lineRule="auto"/>
      </w:pPr>
      <w:r>
        <w:separator/>
      </w:r>
    </w:p>
  </w:endnote>
  <w:endnote w:type="continuationSeparator" w:id="0">
    <w:p w14:paraId="41F136A8" w14:textId="77777777" w:rsidR="00492D2E" w:rsidRDefault="00617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IBM Plex Sans Light">
    <w:altName w:val="Calibri"/>
    <w:charset w:val="00"/>
    <w:family w:val="swiss"/>
    <w:pitch w:val="variable"/>
    <w:sig w:usb0="A00002EF" w:usb1="5000207B" w:usb2="00000000" w:usb3="00000000" w:csb0="0000019F" w:csb1="00000000"/>
  </w:font>
  <w:font w:name="IBM Plex Sans">
    <w:altName w:val="Calibri"/>
    <w:charset w:val="00"/>
    <w:family w:val="swiss"/>
    <w:pitch w:val="variable"/>
    <w:sig w:usb0="A00002EF" w:usb1="5000207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IBM Plex Sans SemiBold">
    <w:altName w:val="Calibri"/>
    <w:charset w:val="00"/>
    <w:family w:val="swiss"/>
    <w:pitch w:val="variable"/>
    <w:sig w:usb0="A00002EF" w:usb1="5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EB Garamond">
    <w:altName w:val="Calibri"/>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35EB5" w14:textId="77777777" w:rsidR="00FE5F65" w:rsidRDefault="00FE5F65">
    <w:pPr>
      <w:pBdr>
        <w:top w:val="nil"/>
        <w:left w:val="nil"/>
        <w:bottom w:val="nil"/>
        <w:right w:val="nil"/>
        <w:between w:val="nil"/>
      </w:pBdr>
      <w:tabs>
        <w:tab w:val="center" w:pos="4252"/>
        <w:tab w:val="right" w:pos="8504"/>
      </w:tabs>
      <w:spacing w:after="0" w:line="240" w:lineRule="auto"/>
    </w:pPr>
  </w:p>
  <w:tbl>
    <w:tblPr>
      <w:tblStyle w:val="a"/>
      <w:tblW w:w="9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1"/>
      <w:gridCol w:w="4871"/>
    </w:tblGrid>
    <w:tr w:rsidR="00FE5F65" w14:paraId="0122AF74" w14:textId="77777777">
      <w:tc>
        <w:tcPr>
          <w:tcW w:w="4871" w:type="dxa"/>
          <w:tcBorders>
            <w:top w:val="nil"/>
            <w:left w:val="nil"/>
            <w:bottom w:val="nil"/>
            <w:right w:val="nil"/>
          </w:tcBorders>
        </w:tcPr>
        <w:p w14:paraId="534521C4" w14:textId="77777777" w:rsidR="00FE5F65" w:rsidRDefault="00FE5F65">
          <w:pPr>
            <w:pBdr>
              <w:top w:val="nil"/>
              <w:left w:val="nil"/>
              <w:bottom w:val="nil"/>
              <w:right w:val="nil"/>
              <w:between w:val="nil"/>
            </w:pBdr>
            <w:tabs>
              <w:tab w:val="center" w:pos="4252"/>
              <w:tab w:val="right" w:pos="8504"/>
            </w:tabs>
          </w:pPr>
        </w:p>
      </w:tc>
      <w:tc>
        <w:tcPr>
          <w:tcW w:w="4871" w:type="dxa"/>
          <w:tcBorders>
            <w:top w:val="nil"/>
            <w:left w:val="nil"/>
            <w:bottom w:val="nil"/>
            <w:right w:val="nil"/>
          </w:tcBorders>
        </w:tcPr>
        <w:p w14:paraId="1E2D3824" w14:textId="77777777" w:rsidR="00FE5F65" w:rsidRDefault="00617248">
          <w:pPr>
            <w:pBdr>
              <w:top w:val="nil"/>
              <w:left w:val="nil"/>
              <w:bottom w:val="nil"/>
              <w:right w:val="nil"/>
              <w:between w:val="nil"/>
            </w:pBdr>
            <w:tabs>
              <w:tab w:val="center" w:pos="4252"/>
              <w:tab w:val="right" w:pos="8504"/>
            </w:tabs>
          </w:pPr>
          <w:r>
            <w:fldChar w:fldCharType="begin"/>
          </w:r>
          <w:r>
            <w:instrText>PAGE</w:instrText>
          </w:r>
          <w:r>
            <w:fldChar w:fldCharType="separate"/>
          </w:r>
          <w:r w:rsidR="0036498E">
            <w:rPr>
              <w:noProof/>
            </w:rPr>
            <w:t>2</w:t>
          </w:r>
          <w:r>
            <w:fldChar w:fldCharType="end"/>
          </w:r>
        </w:p>
        <w:p w14:paraId="47CF920C" w14:textId="77777777" w:rsidR="00FE5F65" w:rsidRDefault="00FE5F65">
          <w:pPr>
            <w:pBdr>
              <w:top w:val="nil"/>
              <w:left w:val="nil"/>
              <w:bottom w:val="nil"/>
              <w:right w:val="nil"/>
              <w:between w:val="nil"/>
            </w:pBdr>
            <w:tabs>
              <w:tab w:val="center" w:pos="4252"/>
              <w:tab w:val="right" w:pos="8504"/>
            </w:tabs>
          </w:pPr>
        </w:p>
      </w:tc>
    </w:tr>
  </w:tbl>
  <w:p w14:paraId="2AB1A77E" w14:textId="77777777" w:rsidR="00FE5F65" w:rsidRDefault="00FE5F65">
    <w:pPr>
      <w:pBdr>
        <w:top w:val="nil"/>
        <w:left w:val="nil"/>
        <w:bottom w:val="nil"/>
        <w:right w:val="nil"/>
        <w:between w:val="nil"/>
      </w:pBdr>
      <w:tabs>
        <w:tab w:val="center" w:pos="4252"/>
        <w:tab w:val="right" w:pos="8504"/>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6E11" w14:textId="77777777" w:rsidR="00FE5F65" w:rsidRDefault="00617248">
    <w:pPr>
      <w:pBdr>
        <w:top w:val="nil"/>
        <w:left w:val="nil"/>
        <w:bottom w:val="nil"/>
        <w:right w:val="nil"/>
        <w:between w:val="nil"/>
      </w:pBdr>
      <w:tabs>
        <w:tab w:val="center" w:pos="4252"/>
        <w:tab w:val="right" w:pos="8504"/>
      </w:tabs>
      <w:spacing w:after="0" w:line="240" w:lineRule="auto"/>
    </w:pPr>
    <w:r>
      <w:t>[Escriba aquí][Escriba aquí][Escriba aquí]</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961" w14:textId="77777777" w:rsidR="00FE5F65" w:rsidRDefault="00FE5F65">
    <w:pPr>
      <w:pBdr>
        <w:top w:val="nil"/>
        <w:left w:val="nil"/>
        <w:bottom w:val="nil"/>
        <w:right w:val="nil"/>
        <w:between w:val="nil"/>
      </w:pBdr>
      <w:tabs>
        <w:tab w:val="center" w:pos="4252"/>
        <w:tab w:val="right" w:pos="8504"/>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CD95A" w14:textId="77777777" w:rsidR="00FE5F65" w:rsidRDefault="00617248">
    <w:pPr>
      <w:pBdr>
        <w:top w:val="nil"/>
        <w:left w:val="nil"/>
        <w:bottom w:val="nil"/>
        <w:right w:val="nil"/>
        <w:between w:val="nil"/>
      </w:pBdr>
      <w:tabs>
        <w:tab w:val="center" w:pos="4252"/>
        <w:tab w:val="right" w:pos="8504"/>
      </w:tabs>
      <w:spacing w:after="0" w:line="240" w:lineRule="auto"/>
      <w:jc w:val="center"/>
    </w:pPr>
    <w:r>
      <w:fldChar w:fldCharType="begin"/>
    </w:r>
    <w:r>
      <w:instrText>PAGE</w:instrText>
    </w:r>
    <w:r>
      <w:fldChar w:fldCharType="separate"/>
    </w:r>
    <w:r w:rsidR="0036498E">
      <w:rPr>
        <w:noProof/>
      </w:rPr>
      <w:t>1</w:t>
    </w:r>
    <w:r>
      <w:fldChar w:fldCharType="end"/>
    </w:r>
  </w:p>
  <w:p w14:paraId="143B5160" w14:textId="77777777" w:rsidR="00FE5F65" w:rsidRDefault="00FE5F65">
    <w:pPr>
      <w:pBdr>
        <w:top w:val="nil"/>
        <w:left w:val="nil"/>
        <w:bottom w:val="nil"/>
        <w:right w:val="nil"/>
        <w:between w:val="nil"/>
      </w:pBdr>
      <w:tabs>
        <w:tab w:val="center" w:pos="4252"/>
        <w:tab w:val="right" w:pos="8504"/>
      </w:tabs>
      <w:spacing w:after="0" w:line="240" w:lineRule="auto"/>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BC33A" w14:textId="77777777" w:rsidR="00FE5F65" w:rsidRDefault="00617248">
    <w:pPr>
      <w:pBdr>
        <w:top w:val="nil"/>
        <w:left w:val="nil"/>
        <w:bottom w:val="nil"/>
        <w:right w:val="nil"/>
        <w:between w:val="nil"/>
      </w:pBdr>
      <w:tabs>
        <w:tab w:val="center" w:pos="4252"/>
        <w:tab w:val="right" w:pos="8504"/>
      </w:tabs>
      <w:spacing w:after="0" w:line="240" w:lineRule="auto"/>
      <w:jc w:val="center"/>
    </w:pPr>
    <w:r>
      <w:fldChar w:fldCharType="begin"/>
    </w:r>
    <w:r>
      <w:instrText>PAGE</w:instrText>
    </w:r>
    <w:r>
      <w:fldChar w:fldCharType="separate"/>
    </w:r>
    <w:r w:rsidR="0036498E">
      <w:rPr>
        <w:noProof/>
      </w:rPr>
      <w:t>0</w:t>
    </w:r>
    <w:r>
      <w:fldChar w:fldCharType="end"/>
    </w:r>
  </w:p>
  <w:p w14:paraId="44CD53AC" w14:textId="77777777" w:rsidR="00FE5F65" w:rsidRDefault="00FE5F65">
    <w:pPr>
      <w:pBdr>
        <w:top w:val="nil"/>
        <w:left w:val="nil"/>
        <w:bottom w:val="nil"/>
        <w:right w:val="nil"/>
        <w:between w:val="nil"/>
      </w:pBdr>
      <w:tabs>
        <w:tab w:val="center" w:pos="4252"/>
        <w:tab w:val="right" w:pos="8504"/>
      </w:tabs>
      <w:spacing w:after="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8A26B" w14:textId="77777777" w:rsidR="00492D2E" w:rsidRDefault="00617248">
      <w:pPr>
        <w:spacing w:after="0" w:line="240" w:lineRule="auto"/>
      </w:pPr>
      <w:r>
        <w:separator/>
      </w:r>
    </w:p>
  </w:footnote>
  <w:footnote w:type="continuationSeparator" w:id="0">
    <w:p w14:paraId="74E9D191" w14:textId="77777777" w:rsidR="00492D2E" w:rsidRDefault="00617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9527E" w14:textId="77777777" w:rsidR="00FE5F65" w:rsidRDefault="00FE5F65">
    <w:pPr>
      <w:pBdr>
        <w:top w:val="nil"/>
        <w:left w:val="nil"/>
        <w:bottom w:val="nil"/>
        <w:right w:val="nil"/>
        <w:between w:val="nil"/>
      </w:pBdr>
      <w:tabs>
        <w:tab w:val="center" w:pos="4252"/>
        <w:tab w:val="right" w:pos="8504"/>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06FD"/>
    <w:multiLevelType w:val="multilevel"/>
    <w:tmpl w:val="7C927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11CA1"/>
    <w:multiLevelType w:val="multilevel"/>
    <w:tmpl w:val="10340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6424B7"/>
    <w:multiLevelType w:val="multilevel"/>
    <w:tmpl w:val="5B96E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7329C3"/>
    <w:multiLevelType w:val="hybridMultilevel"/>
    <w:tmpl w:val="D6FC13F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1774652C"/>
    <w:multiLevelType w:val="multilevel"/>
    <w:tmpl w:val="46AC936E"/>
    <w:lvl w:ilvl="0">
      <w:start w:val="5"/>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D23E93"/>
    <w:multiLevelType w:val="multilevel"/>
    <w:tmpl w:val="974A7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DC13F9"/>
    <w:multiLevelType w:val="multilevel"/>
    <w:tmpl w:val="DAAA3504"/>
    <w:lvl w:ilvl="0">
      <w:start w:val="1"/>
      <w:numFmt w:val="bullet"/>
      <w:lvlText w:val="o"/>
      <w:lvlJc w:val="left"/>
      <w:pPr>
        <w:ind w:left="1776" w:hanging="360"/>
      </w:pPr>
      <w:rPr>
        <w:rFonts w:ascii="Courier New" w:eastAsia="Courier New" w:hAnsi="Courier New" w:cs="Courier New"/>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7" w15:restartNumberingAfterBreak="0">
    <w:nsid w:val="200C2C7C"/>
    <w:multiLevelType w:val="multilevel"/>
    <w:tmpl w:val="75B082A8"/>
    <w:lvl w:ilvl="0">
      <w:start w:val="5"/>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927EAE"/>
    <w:multiLevelType w:val="multilevel"/>
    <w:tmpl w:val="557E1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B3725F"/>
    <w:multiLevelType w:val="multilevel"/>
    <w:tmpl w:val="CDF26E3C"/>
    <w:lvl w:ilvl="0">
      <w:start w:val="1"/>
      <w:numFmt w:val="bullet"/>
      <w:lvlText w:val="o"/>
      <w:lvlJc w:val="left"/>
      <w:pPr>
        <w:ind w:left="1776" w:hanging="360"/>
      </w:pPr>
      <w:rPr>
        <w:rFonts w:ascii="Courier New" w:eastAsia="Courier New" w:hAnsi="Courier New" w:cs="Courier New"/>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0" w15:restartNumberingAfterBreak="0">
    <w:nsid w:val="2BCA1A66"/>
    <w:multiLevelType w:val="multilevel"/>
    <w:tmpl w:val="DB029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1B21CF"/>
    <w:multiLevelType w:val="multilevel"/>
    <w:tmpl w:val="5CBC1808"/>
    <w:lvl w:ilvl="0">
      <w:start w:val="1"/>
      <w:numFmt w:val="bullet"/>
      <w:lvlText w:val="o"/>
      <w:lvlJc w:val="left"/>
      <w:pPr>
        <w:ind w:left="1776" w:hanging="360"/>
      </w:pPr>
      <w:rPr>
        <w:rFonts w:ascii="Courier New" w:eastAsia="Courier New" w:hAnsi="Courier New" w:cs="Courier New"/>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2" w15:restartNumberingAfterBreak="0">
    <w:nsid w:val="39635838"/>
    <w:multiLevelType w:val="multilevel"/>
    <w:tmpl w:val="2F0E9F94"/>
    <w:lvl w:ilvl="0">
      <w:start w:val="5"/>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F51130"/>
    <w:multiLevelType w:val="multilevel"/>
    <w:tmpl w:val="2EE45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0FD5DD6"/>
    <w:multiLevelType w:val="multilevel"/>
    <w:tmpl w:val="5BCAC9D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5" w15:restartNumberingAfterBreak="0">
    <w:nsid w:val="4AD5138D"/>
    <w:multiLevelType w:val="multilevel"/>
    <w:tmpl w:val="7520C9E4"/>
    <w:lvl w:ilvl="0">
      <w:start w:val="5"/>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21B2CD2"/>
    <w:multiLevelType w:val="hybridMultilevel"/>
    <w:tmpl w:val="6D0277B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64073C4B"/>
    <w:multiLevelType w:val="multilevel"/>
    <w:tmpl w:val="888CD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7D06BDE"/>
    <w:multiLevelType w:val="multilevel"/>
    <w:tmpl w:val="F0906434"/>
    <w:lvl w:ilvl="0">
      <w:start w:val="5"/>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B20FDE"/>
    <w:multiLevelType w:val="multilevel"/>
    <w:tmpl w:val="D92C2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7"/>
  </w:num>
  <w:num w:numId="3">
    <w:abstractNumId w:val="2"/>
  </w:num>
  <w:num w:numId="4">
    <w:abstractNumId w:val="8"/>
  </w:num>
  <w:num w:numId="5">
    <w:abstractNumId w:val="0"/>
  </w:num>
  <w:num w:numId="6">
    <w:abstractNumId w:val="13"/>
  </w:num>
  <w:num w:numId="7">
    <w:abstractNumId w:val="4"/>
  </w:num>
  <w:num w:numId="8">
    <w:abstractNumId w:val="10"/>
  </w:num>
  <w:num w:numId="9">
    <w:abstractNumId w:val="1"/>
  </w:num>
  <w:num w:numId="10">
    <w:abstractNumId w:val="12"/>
  </w:num>
  <w:num w:numId="11">
    <w:abstractNumId w:val="15"/>
  </w:num>
  <w:num w:numId="12">
    <w:abstractNumId w:val="18"/>
  </w:num>
  <w:num w:numId="13">
    <w:abstractNumId w:val="14"/>
  </w:num>
  <w:num w:numId="14">
    <w:abstractNumId w:val="19"/>
  </w:num>
  <w:num w:numId="15">
    <w:abstractNumId w:val="9"/>
  </w:num>
  <w:num w:numId="16">
    <w:abstractNumId w:val="11"/>
  </w:num>
  <w:num w:numId="17">
    <w:abstractNumId w:val="6"/>
  </w:num>
  <w:num w:numId="18">
    <w:abstractNumId w:val="5"/>
  </w:num>
  <w:num w:numId="19">
    <w:abstractNumId w:val="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F65"/>
    <w:rsid w:val="00012821"/>
    <w:rsid w:val="00077E95"/>
    <w:rsid w:val="0008443E"/>
    <w:rsid w:val="00097DF3"/>
    <w:rsid w:val="000C0228"/>
    <w:rsid w:val="001429F7"/>
    <w:rsid w:val="00163CCF"/>
    <w:rsid w:val="00167716"/>
    <w:rsid w:val="0018027E"/>
    <w:rsid w:val="001824EA"/>
    <w:rsid w:val="001C5409"/>
    <w:rsid w:val="001C6D00"/>
    <w:rsid w:val="001D3449"/>
    <w:rsid w:val="001E6B59"/>
    <w:rsid w:val="00262164"/>
    <w:rsid w:val="002757CC"/>
    <w:rsid w:val="002B3AFE"/>
    <w:rsid w:val="002E651F"/>
    <w:rsid w:val="002E73A8"/>
    <w:rsid w:val="003027C2"/>
    <w:rsid w:val="00325775"/>
    <w:rsid w:val="00347DD1"/>
    <w:rsid w:val="00352FBC"/>
    <w:rsid w:val="0036498E"/>
    <w:rsid w:val="00372924"/>
    <w:rsid w:val="003B77A4"/>
    <w:rsid w:val="003F0131"/>
    <w:rsid w:val="004026F3"/>
    <w:rsid w:val="0041099D"/>
    <w:rsid w:val="00432FAC"/>
    <w:rsid w:val="004657CF"/>
    <w:rsid w:val="00482068"/>
    <w:rsid w:val="00492D2E"/>
    <w:rsid w:val="004A0ACA"/>
    <w:rsid w:val="004E4466"/>
    <w:rsid w:val="004F2407"/>
    <w:rsid w:val="0055785F"/>
    <w:rsid w:val="00576878"/>
    <w:rsid w:val="00581492"/>
    <w:rsid w:val="0058458F"/>
    <w:rsid w:val="005A4A0A"/>
    <w:rsid w:val="005B3808"/>
    <w:rsid w:val="00617248"/>
    <w:rsid w:val="006759FD"/>
    <w:rsid w:val="006A0B75"/>
    <w:rsid w:val="006B2917"/>
    <w:rsid w:val="006C6435"/>
    <w:rsid w:val="006E3399"/>
    <w:rsid w:val="0072031C"/>
    <w:rsid w:val="00724840"/>
    <w:rsid w:val="007400EB"/>
    <w:rsid w:val="007542A0"/>
    <w:rsid w:val="00785F01"/>
    <w:rsid w:val="00794A42"/>
    <w:rsid w:val="00795A53"/>
    <w:rsid w:val="007D03FA"/>
    <w:rsid w:val="007D2824"/>
    <w:rsid w:val="007F473C"/>
    <w:rsid w:val="0081424A"/>
    <w:rsid w:val="00847BFF"/>
    <w:rsid w:val="00857DA6"/>
    <w:rsid w:val="008678C4"/>
    <w:rsid w:val="00893B79"/>
    <w:rsid w:val="008A0762"/>
    <w:rsid w:val="008B3244"/>
    <w:rsid w:val="008D3C31"/>
    <w:rsid w:val="00907401"/>
    <w:rsid w:val="00937C80"/>
    <w:rsid w:val="00944A31"/>
    <w:rsid w:val="0097497C"/>
    <w:rsid w:val="00974B41"/>
    <w:rsid w:val="009B7948"/>
    <w:rsid w:val="009F6A85"/>
    <w:rsid w:val="00A40093"/>
    <w:rsid w:val="00A56A1C"/>
    <w:rsid w:val="00A56C66"/>
    <w:rsid w:val="00A76325"/>
    <w:rsid w:val="00A94911"/>
    <w:rsid w:val="00B26041"/>
    <w:rsid w:val="00B3768D"/>
    <w:rsid w:val="00B5669F"/>
    <w:rsid w:val="00B720AC"/>
    <w:rsid w:val="00BB14FA"/>
    <w:rsid w:val="00BC3AAE"/>
    <w:rsid w:val="00BF4B27"/>
    <w:rsid w:val="00C734C4"/>
    <w:rsid w:val="00C771C4"/>
    <w:rsid w:val="00CA3973"/>
    <w:rsid w:val="00CB303E"/>
    <w:rsid w:val="00CB3A3F"/>
    <w:rsid w:val="00CC5873"/>
    <w:rsid w:val="00CE18F1"/>
    <w:rsid w:val="00CF1CC9"/>
    <w:rsid w:val="00D047FD"/>
    <w:rsid w:val="00D07C79"/>
    <w:rsid w:val="00D21AAD"/>
    <w:rsid w:val="00D51877"/>
    <w:rsid w:val="00D83BED"/>
    <w:rsid w:val="00D84146"/>
    <w:rsid w:val="00DC6FAF"/>
    <w:rsid w:val="00DE338D"/>
    <w:rsid w:val="00DE6FA0"/>
    <w:rsid w:val="00E476F5"/>
    <w:rsid w:val="00EB00A7"/>
    <w:rsid w:val="00EB058D"/>
    <w:rsid w:val="00EC70B5"/>
    <w:rsid w:val="00ED2F5F"/>
    <w:rsid w:val="00EE56AB"/>
    <w:rsid w:val="00EF3CB9"/>
    <w:rsid w:val="00F11B8A"/>
    <w:rsid w:val="00F66620"/>
    <w:rsid w:val="00F756CE"/>
    <w:rsid w:val="00F779DF"/>
    <w:rsid w:val="00FB4AFF"/>
    <w:rsid w:val="00FD308B"/>
    <w:rsid w:val="00FE5F65"/>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92417"/>
  <w15:docId w15:val="{CDFF77A9-8AA6-4AD2-A91C-3151DF9B4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IBM Plex Sans Light" w:eastAsia="IBM Plex Sans Light" w:hAnsi="IBM Plex Sans Light" w:cs="IBM Plex Sans Light"/>
        <w:color w:val="1A1A1A"/>
        <w:sz w:val="24"/>
        <w:szCs w:val="24"/>
        <w:lang w:val="ca-ES" w:eastAsia="ca-ES" w:bidi="ar-SA"/>
      </w:rPr>
    </w:rPrDefault>
    <w:pPrDefault>
      <w:pPr>
        <w:spacing w:after="24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uerpo de texto"/>
    <w:qFormat/>
    <w:rsid w:val="00400004"/>
  </w:style>
  <w:style w:type="paragraph" w:styleId="Ttulo1">
    <w:name w:val="heading 1"/>
    <w:basedOn w:val="Normal"/>
    <w:next w:val="Normal"/>
    <w:link w:val="Ttulo1Car"/>
    <w:uiPriority w:val="9"/>
    <w:qFormat/>
    <w:rsid w:val="00F75BC1"/>
    <w:pPr>
      <w:keepNext/>
      <w:keepLines/>
      <w:spacing w:before="240" w:after="0"/>
      <w:outlineLvl w:val="0"/>
    </w:pPr>
    <w:rPr>
      <w:rFonts w:ascii="IBM Plex Sans" w:eastAsiaTheme="majorEastAsia" w:hAnsi="IBM Plex Sans" w:cstheme="majorBidi"/>
      <w:b/>
      <w:sz w:val="36"/>
      <w:szCs w:val="36"/>
    </w:rPr>
  </w:style>
  <w:style w:type="paragraph" w:styleId="Ttulo2">
    <w:name w:val="heading 2"/>
    <w:basedOn w:val="Normal"/>
    <w:next w:val="Normal"/>
    <w:link w:val="Ttulo2Car"/>
    <w:uiPriority w:val="9"/>
    <w:semiHidden/>
    <w:unhideWhenUsed/>
    <w:qFormat/>
    <w:rsid w:val="00F75BC1"/>
    <w:pPr>
      <w:keepNext/>
      <w:keepLines/>
      <w:spacing w:before="40" w:after="0"/>
      <w:outlineLvl w:val="1"/>
    </w:pPr>
    <w:rPr>
      <w:rFonts w:ascii="IBM Plex Sans" w:eastAsiaTheme="majorEastAsia" w:hAnsi="IBM Plex Sans" w:cstheme="majorBidi"/>
      <w:b/>
      <w:sz w:val="28"/>
      <w:szCs w:val="26"/>
    </w:rPr>
  </w:style>
  <w:style w:type="paragraph" w:styleId="Ttulo3">
    <w:name w:val="heading 3"/>
    <w:basedOn w:val="Normal"/>
    <w:next w:val="Normal"/>
    <w:link w:val="Ttulo3Car"/>
    <w:uiPriority w:val="9"/>
    <w:semiHidden/>
    <w:unhideWhenUsed/>
    <w:qFormat/>
    <w:rsid w:val="00C64B74"/>
    <w:pPr>
      <w:spacing w:before="40" w:after="0"/>
      <w:outlineLvl w:val="2"/>
    </w:pPr>
    <w:rPr>
      <w:rFonts w:ascii="IBM Plex Sans" w:hAnsi="IBM Plex Sans"/>
      <w:b/>
      <w:bCs/>
      <w:szCs w:val="28"/>
      <w14:textFill>
        <w14:solidFill>
          <w14:srgbClr w14:val="1A1A1A">
            <w14:lumMod w14:val="75000"/>
            <w14:lumOff w14:val="25000"/>
            <w14:lumMod w14:val="75000"/>
            <w14:lumOff w14:val="25000"/>
            <w14:lumMod w14:val="65000"/>
          </w14:srgbClr>
        </w14:solidFill>
      </w14:textFill>
    </w:rPr>
  </w:style>
  <w:style w:type="paragraph" w:styleId="Ttulo4">
    <w:name w:val="heading 4"/>
    <w:basedOn w:val="Normal"/>
    <w:next w:val="Normal"/>
    <w:link w:val="Ttulo4Car"/>
    <w:uiPriority w:val="9"/>
    <w:semiHidden/>
    <w:unhideWhenUsed/>
    <w:qFormat/>
    <w:rsid w:val="00C64B74"/>
    <w:pPr>
      <w:keepNext/>
      <w:keepLines/>
      <w:spacing w:before="40" w:after="0"/>
      <w:outlineLvl w:val="3"/>
    </w:pPr>
    <w:rPr>
      <w:rFonts w:ascii="IBM Plex Sans" w:eastAsiaTheme="majorEastAsia" w:hAnsi="IBM Plex Sans" w:cstheme="majorBidi"/>
      <w:i/>
      <w:iCs/>
      <w:color w:val="auto"/>
    </w:rPr>
  </w:style>
  <w:style w:type="paragraph" w:styleId="Ttulo5">
    <w:name w:val="heading 5"/>
    <w:basedOn w:val="Normal"/>
    <w:next w:val="Normal"/>
    <w:link w:val="Ttulo5Car"/>
    <w:uiPriority w:val="9"/>
    <w:semiHidden/>
    <w:unhideWhenUsed/>
    <w:qFormat/>
    <w:rsid w:val="00C64B74"/>
    <w:pPr>
      <w:keepNext/>
      <w:keepLines/>
      <w:spacing w:before="40" w:after="0"/>
      <w:outlineLvl w:val="4"/>
    </w:pPr>
    <w:rPr>
      <w:rFonts w:ascii="IBM Plex Sans" w:eastAsiaTheme="majorEastAsia" w:hAnsi="IBM Plex Sans" w:cstheme="majorBidi"/>
      <w:color w:val="auto"/>
    </w:rPr>
  </w:style>
  <w:style w:type="paragraph" w:styleId="Ttulo6">
    <w:name w:val="heading 6"/>
    <w:basedOn w:val="Normal"/>
    <w:next w:val="Normal"/>
    <w:link w:val="Ttulo6Car"/>
    <w:uiPriority w:val="9"/>
    <w:semiHidden/>
    <w:unhideWhenUsed/>
    <w:qFormat/>
    <w:rsid w:val="00C64B74"/>
    <w:pPr>
      <w:keepNext/>
      <w:keepLines/>
      <w:spacing w:before="40" w:after="0"/>
      <w:outlineLvl w:val="5"/>
    </w:pPr>
    <w:rPr>
      <w:rFonts w:ascii="IBM Plex Sans" w:eastAsiaTheme="majorEastAsia" w:hAnsi="IBM Plex Sans" w:cstheme="majorBidi"/>
      <w:color w:val="1F3763" w:themeColor="accent1" w:themeShade="7F"/>
    </w:rPr>
  </w:style>
  <w:style w:type="paragraph" w:styleId="Ttulo7">
    <w:name w:val="heading 7"/>
    <w:basedOn w:val="Normal"/>
    <w:next w:val="Normal"/>
    <w:link w:val="Ttulo7Car"/>
    <w:uiPriority w:val="9"/>
    <w:unhideWhenUsed/>
    <w:rsid w:val="00C64B74"/>
    <w:pPr>
      <w:keepNext/>
      <w:keepLines/>
      <w:spacing w:before="40" w:after="0"/>
      <w:outlineLvl w:val="6"/>
    </w:pPr>
    <w:rPr>
      <w:rFonts w:ascii="IBM Plex Sans" w:eastAsiaTheme="majorEastAsia" w:hAnsi="IBM Plex Sans" w:cstheme="majorBidi"/>
      <w:i/>
      <w:iCs/>
      <w:color w:val="auto"/>
    </w:rPr>
  </w:style>
  <w:style w:type="paragraph" w:styleId="Ttulo8">
    <w:name w:val="heading 8"/>
    <w:basedOn w:val="Normal"/>
    <w:next w:val="Normal"/>
    <w:link w:val="Ttulo8Car"/>
    <w:uiPriority w:val="9"/>
    <w:unhideWhenUsed/>
    <w:rsid w:val="00C64B7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AF02CC"/>
    <w:pPr>
      <w:spacing w:before="2880" w:line="240" w:lineRule="auto"/>
      <w:contextualSpacing/>
    </w:pPr>
    <w:rPr>
      <w:rFonts w:ascii="IBM Plex Sans" w:eastAsiaTheme="majorEastAsia" w:hAnsi="IBM Plex Sans" w:cstheme="majorBidi"/>
      <w:b/>
      <w:noProof/>
      <w:color w:val="FFFFFF" w:themeColor="background1"/>
      <w:spacing w:val="-10"/>
      <w:kern w:val="28"/>
      <w:sz w:val="120"/>
      <w:szCs w:val="120"/>
    </w:rPr>
  </w:style>
  <w:style w:type="paragraph" w:styleId="Encabezado">
    <w:name w:val="header"/>
    <w:basedOn w:val="Normal"/>
    <w:link w:val="EncabezadoCar"/>
    <w:uiPriority w:val="99"/>
    <w:unhideWhenUsed/>
    <w:rsid w:val="00384E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4ED3"/>
  </w:style>
  <w:style w:type="paragraph" w:styleId="Piedepgina">
    <w:name w:val="footer"/>
    <w:basedOn w:val="Normal"/>
    <w:link w:val="PiedepginaCar"/>
    <w:uiPriority w:val="99"/>
    <w:unhideWhenUsed/>
    <w:rsid w:val="004000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00004"/>
    <w:rPr>
      <w:rFonts w:ascii="IBM Plex Sans Light" w:hAnsi="IBM Plex Sans Light"/>
      <w:color w:val="1A1A1A"/>
      <w:sz w:val="24"/>
      <w:szCs w:val="24"/>
    </w:rPr>
  </w:style>
  <w:style w:type="character" w:customStyle="1" w:styleId="Ttulo1Car">
    <w:name w:val="Título 1 Car"/>
    <w:basedOn w:val="Fuentedeprrafopredeter"/>
    <w:link w:val="Ttulo1"/>
    <w:uiPriority w:val="9"/>
    <w:rsid w:val="00F75BC1"/>
    <w:rPr>
      <w:rFonts w:ascii="IBM Plex Sans" w:eastAsiaTheme="majorEastAsia" w:hAnsi="IBM Plex Sans" w:cstheme="majorBidi"/>
      <w:b/>
      <w:color w:val="1A1A1A"/>
      <w:sz w:val="36"/>
      <w:szCs w:val="36"/>
    </w:rPr>
  </w:style>
  <w:style w:type="character" w:customStyle="1" w:styleId="Ttulo2Car">
    <w:name w:val="Título 2 Car"/>
    <w:basedOn w:val="Fuentedeprrafopredeter"/>
    <w:link w:val="Ttulo2"/>
    <w:uiPriority w:val="9"/>
    <w:rsid w:val="00F75BC1"/>
    <w:rPr>
      <w:rFonts w:ascii="IBM Plex Sans" w:eastAsiaTheme="majorEastAsia" w:hAnsi="IBM Plex Sans" w:cstheme="majorBidi"/>
      <w:b/>
      <w:color w:val="1A1A1A"/>
      <w:sz w:val="28"/>
      <w:szCs w:val="26"/>
    </w:rPr>
  </w:style>
  <w:style w:type="paragraph" w:styleId="ndice1">
    <w:name w:val="index 1"/>
    <w:basedOn w:val="Normal"/>
    <w:next w:val="Normal"/>
    <w:autoRedefine/>
    <w:uiPriority w:val="99"/>
    <w:semiHidden/>
    <w:unhideWhenUsed/>
    <w:rsid w:val="001076A1"/>
    <w:pPr>
      <w:spacing w:after="0" w:line="240" w:lineRule="auto"/>
      <w:ind w:left="260" w:hanging="260"/>
    </w:pPr>
  </w:style>
  <w:style w:type="paragraph" w:styleId="TtuloTDC">
    <w:name w:val="TOC Heading"/>
    <w:basedOn w:val="Ttulo1"/>
    <w:next w:val="Normal"/>
    <w:uiPriority w:val="39"/>
    <w:unhideWhenUsed/>
    <w:qFormat/>
    <w:rsid w:val="00884EF8"/>
    <w:pPr>
      <w:spacing w:line="259" w:lineRule="auto"/>
      <w:outlineLvl w:val="9"/>
    </w:pPr>
    <w:rPr>
      <w:rFonts w:ascii="IBM Plex Sans SemiBold" w:hAnsi="IBM Plex Sans SemiBold"/>
      <w:b w:val="0"/>
      <w:sz w:val="32"/>
    </w:rPr>
  </w:style>
  <w:style w:type="paragraph" w:styleId="TDC1">
    <w:name w:val="toc 1"/>
    <w:basedOn w:val="Normal"/>
    <w:next w:val="Normal"/>
    <w:autoRedefine/>
    <w:uiPriority w:val="39"/>
    <w:unhideWhenUsed/>
    <w:rsid w:val="00430615"/>
    <w:pPr>
      <w:tabs>
        <w:tab w:val="right" w:leader="dot" w:pos="9736"/>
      </w:tabs>
      <w:spacing w:after="100"/>
    </w:pPr>
    <w:rPr>
      <w:b/>
      <w:bCs/>
      <w:noProof/>
    </w:rPr>
  </w:style>
  <w:style w:type="paragraph" w:styleId="TDC2">
    <w:name w:val="toc 2"/>
    <w:basedOn w:val="Normal"/>
    <w:next w:val="Normal"/>
    <w:autoRedefine/>
    <w:uiPriority w:val="39"/>
    <w:unhideWhenUsed/>
    <w:rsid w:val="00430615"/>
    <w:pPr>
      <w:tabs>
        <w:tab w:val="right" w:leader="dot" w:pos="9742"/>
      </w:tabs>
      <w:spacing w:after="100"/>
      <w:ind w:left="260"/>
    </w:pPr>
    <w:rPr>
      <w:noProof/>
    </w:rPr>
  </w:style>
  <w:style w:type="character" w:styleId="Hipervnculo">
    <w:name w:val="Hyperlink"/>
    <w:basedOn w:val="Fuentedeprrafopredeter"/>
    <w:uiPriority w:val="99"/>
    <w:unhideWhenUsed/>
    <w:rsid w:val="008C76A5"/>
    <w:rPr>
      <w:rFonts w:ascii="IBM Plex Sans Light" w:hAnsi="IBM Plex Sans Light"/>
      <w:color w:val="003864"/>
      <w:u w:val="single"/>
    </w:rPr>
  </w:style>
  <w:style w:type="paragraph" w:styleId="Sinespaciado">
    <w:name w:val="No Spacing"/>
    <w:uiPriority w:val="1"/>
    <w:rsid w:val="00733D7A"/>
    <w:pPr>
      <w:spacing w:after="0" w:line="240" w:lineRule="auto"/>
    </w:pPr>
  </w:style>
  <w:style w:type="character" w:customStyle="1" w:styleId="Ttulo3Car">
    <w:name w:val="Título 3 Car"/>
    <w:basedOn w:val="Fuentedeprrafopredeter"/>
    <w:link w:val="Ttulo3"/>
    <w:uiPriority w:val="9"/>
    <w:rsid w:val="00C64B74"/>
    <w:rPr>
      <w:rFonts w:ascii="IBM Plex Sans" w:hAnsi="IBM Plex Sans"/>
      <w:b/>
      <w:bCs/>
      <w:color w:val="1A1A1A"/>
      <w:sz w:val="24"/>
      <w:szCs w:val="28"/>
      <w14:textFill>
        <w14:solidFill>
          <w14:srgbClr w14:val="1A1A1A">
            <w14:lumMod w14:val="75000"/>
            <w14:lumOff w14:val="25000"/>
            <w14:lumMod w14:val="75000"/>
            <w14:lumOff w14:val="25000"/>
            <w14:lumMod w14:val="65000"/>
          </w14:srgbClr>
        </w14:solidFill>
      </w14:textFill>
    </w:rPr>
  </w:style>
  <w:style w:type="paragraph" w:styleId="TDC3">
    <w:name w:val="toc 3"/>
    <w:basedOn w:val="Normal"/>
    <w:next w:val="Normal"/>
    <w:autoRedefine/>
    <w:uiPriority w:val="39"/>
    <w:unhideWhenUsed/>
    <w:rsid w:val="008C76A5"/>
    <w:pPr>
      <w:tabs>
        <w:tab w:val="right" w:leader="dot" w:pos="9742"/>
      </w:tabs>
      <w:spacing w:after="100"/>
      <w:ind w:left="520"/>
    </w:pPr>
    <w:rPr>
      <w:noProof/>
    </w:rPr>
  </w:style>
  <w:style w:type="character" w:styleId="nfasis">
    <w:name w:val="Emphasis"/>
    <w:uiPriority w:val="20"/>
    <w:qFormat/>
    <w:rsid w:val="00BB3986"/>
    <w:rPr>
      <w:color w:val="A6A6A6" w:themeColor="background1" w:themeShade="A6"/>
    </w:rPr>
  </w:style>
  <w:style w:type="character" w:styleId="Refdecomentario">
    <w:name w:val="annotation reference"/>
    <w:basedOn w:val="Fuentedeprrafopredeter"/>
    <w:uiPriority w:val="99"/>
    <w:semiHidden/>
    <w:unhideWhenUsed/>
    <w:rsid w:val="00E115F9"/>
    <w:rPr>
      <w:sz w:val="16"/>
      <w:szCs w:val="16"/>
    </w:rPr>
  </w:style>
  <w:style w:type="paragraph" w:styleId="Textocomentario">
    <w:name w:val="annotation text"/>
    <w:basedOn w:val="Normal"/>
    <w:link w:val="TextocomentarioCar"/>
    <w:uiPriority w:val="99"/>
    <w:unhideWhenUsed/>
    <w:rsid w:val="00E115F9"/>
    <w:pPr>
      <w:spacing w:line="240" w:lineRule="auto"/>
    </w:pPr>
    <w:rPr>
      <w:sz w:val="20"/>
      <w:szCs w:val="20"/>
    </w:rPr>
  </w:style>
  <w:style w:type="character" w:customStyle="1" w:styleId="TextocomentarioCar">
    <w:name w:val="Texto comentario Car"/>
    <w:basedOn w:val="Fuentedeprrafopredeter"/>
    <w:link w:val="Textocomentario"/>
    <w:uiPriority w:val="99"/>
    <w:rsid w:val="00E115F9"/>
    <w:rPr>
      <w:rFonts w:ascii="IBM Plex Sans Light" w:hAnsi="IBM Plex Sans Light"/>
      <w:color w:val="404040" w:themeColor="text1" w:themeTint="BF"/>
      <w:sz w:val="20"/>
      <w:szCs w:val="20"/>
    </w:rPr>
  </w:style>
  <w:style w:type="paragraph" w:styleId="Asuntodelcomentario">
    <w:name w:val="annotation subject"/>
    <w:basedOn w:val="Textocomentario"/>
    <w:next w:val="Textocomentario"/>
    <w:link w:val="AsuntodelcomentarioCar"/>
    <w:uiPriority w:val="99"/>
    <w:semiHidden/>
    <w:unhideWhenUsed/>
    <w:rsid w:val="00E115F9"/>
    <w:rPr>
      <w:b/>
      <w:bCs/>
    </w:rPr>
  </w:style>
  <w:style w:type="character" w:customStyle="1" w:styleId="AsuntodelcomentarioCar">
    <w:name w:val="Asunto del comentario Car"/>
    <w:basedOn w:val="TextocomentarioCar"/>
    <w:link w:val="Asuntodelcomentario"/>
    <w:uiPriority w:val="99"/>
    <w:semiHidden/>
    <w:rsid w:val="00E115F9"/>
    <w:rPr>
      <w:rFonts w:ascii="IBM Plex Sans Light" w:hAnsi="IBM Plex Sans Light"/>
      <w:b/>
      <w:bCs/>
      <w:color w:val="404040" w:themeColor="text1" w:themeTint="BF"/>
      <w:sz w:val="20"/>
      <w:szCs w:val="20"/>
    </w:rPr>
  </w:style>
  <w:style w:type="table" w:styleId="Tablaconcuadrcula">
    <w:name w:val="Table Grid"/>
    <w:basedOn w:val="Tablanormal"/>
    <w:uiPriority w:val="39"/>
    <w:rsid w:val="000C1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basedOn w:val="Fuentedeprrafopredeter"/>
    <w:link w:val="Ttulo"/>
    <w:uiPriority w:val="10"/>
    <w:rsid w:val="00AF02CC"/>
    <w:rPr>
      <w:rFonts w:ascii="IBM Plex Sans" w:eastAsiaTheme="majorEastAsia" w:hAnsi="IBM Plex Sans" w:cstheme="majorBidi"/>
      <w:b/>
      <w:noProof/>
      <w:color w:val="FFFFFF" w:themeColor="background1"/>
      <w:spacing w:val="-10"/>
      <w:kern w:val="28"/>
      <w:sz w:val="120"/>
      <w:szCs w:val="120"/>
    </w:rPr>
  </w:style>
  <w:style w:type="paragraph" w:customStyle="1" w:styleId="Autora">
    <w:name w:val="Autor/a"/>
    <w:basedOn w:val="Normal"/>
    <w:qFormat/>
    <w:rsid w:val="00226AA6"/>
    <w:pPr>
      <w:spacing w:line="240" w:lineRule="auto"/>
    </w:pPr>
    <w:rPr>
      <w:color w:val="FFFFFF" w:themeColor="background1"/>
      <w:sz w:val="36"/>
      <w:szCs w:val="36"/>
    </w:rPr>
  </w:style>
  <w:style w:type="paragraph" w:customStyle="1" w:styleId="Data">
    <w:name w:val="Data"/>
    <w:basedOn w:val="Normal"/>
    <w:qFormat/>
    <w:rsid w:val="00226AA6"/>
    <w:pPr>
      <w:spacing w:line="240" w:lineRule="auto"/>
    </w:pPr>
    <w:rPr>
      <w:color w:val="FFFFFF" w:themeColor="background1"/>
      <w:sz w:val="36"/>
      <w:szCs w:val="36"/>
    </w:rPr>
  </w:style>
  <w:style w:type="paragraph" w:customStyle="1" w:styleId="ProDigital">
    <w:name w:val="ProDigital"/>
    <w:basedOn w:val="Normal"/>
    <w:qFormat/>
    <w:rsid w:val="00CB25BC"/>
    <w:pPr>
      <w:jc w:val="right"/>
    </w:pPr>
    <w:rPr>
      <w:b/>
      <w:bCs/>
      <w:noProof/>
      <w:color w:val="FFFFFF" w:themeColor="background1"/>
    </w:rPr>
  </w:style>
  <w:style w:type="character" w:styleId="Mencinsinresolver">
    <w:name w:val="Unresolved Mention"/>
    <w:basedOn w:val="Fuentedeprrafopredeter"/>
    <w:uiPriority w:val="99"/>
    <w:semiHidden/>
    <w:unhideWhenUsed/>
    <w:rsid w:val="007A6D52"/>
    <w:rPr>
      <w:color w:val="605E5C"/>
      <w:shd w:val="clear" w:color="auto" w:fill="E1DFDD"/>
    </w:rPr>
  </w:style>
  <w:style w:type="character" w:customStyle="1" w:styleId="Ttulo4Car">
    <w:name w:val="Título 4 Car"/>
    <w:basedOn w:val="Fuentedeprrafopredeter"/>
    <w:link w:val="Ttulo4"/>
    <w:uiPriority w:val="9"/>
    <w:rsid w:val="00C64B74"/>
    <w:rPr>
      <w:rFonts w:ascii="IBM Plex Sans" w:eastAsiaTheme="majorEastAsia" w:hAnsi="IBM Plex Sans" w:cstheme="majorBidi"/>
      <w:i/>
      <w:iCs/>
      <w:sz w:val="24"/>
      <w:szCs w:val="24"/>
    </w:rPr>
  </w:style>
  <w:style w:type="character" w:customStyle="1" w:styleId="Ttulo5Car">
    <w:name w:val="Título 5 Car"/>
    <w:basedOn w:val="Fuentedeprrafopredeter"/>
    <w:link w:val="Ttulo5"/>
    <w:uiPriority w:val="9"/>
    <w:rsid w:val="00C64B74"/>
    <w:rPr>
      <w:rFonts w:ascii="IBM Plex Sans" w:eastAsiaTheme="majorEastAsia" w:hAnsi="IBM Plex Sans" w:cstheme="majorBidi"/>
      <w:sz w:val="24"/>
      <w:szCs w:val="24"/>
    </w:rPr>
  </w:style>
  <w:style w:type="character" w:customStyle="1" w:styleId="Ttulo6Car">
    <w:name w:val="Título 6 Car"/>
    <w:basedOn w:val="Fuentedeprrafopredeter"/>
    <w:link w:val="Ttulo6"/>
    <w:uiPriority w:val="9"/>
    <w:rsid w:val="00C64B74"/>
    <w:rPr>
      <w:rFonts w:ascii="IBM Plex Sans" w:eastAsiaTheme="majorEastAsia" w:hAnsi="IBM Plex Sans" w:cstheme="majorBidi"/>
      <w:color w:val="1F3763" w:themeColor="accent1" w:themeShade="7F"/>
      <w:sz w:val="24"/>
      <w:szCs w:val="24"/>
    </w:rPr>
  </w:style>
  <w:style w:type="character" w:customStyle="1" w:styleId="Ttulo7Car">
    <w:name w:val="Título 7 Car"/>
    <w:basedOn w:val="Fuentedeprrafopredeter"/>
    <w:link w:val="Ttulo7"/>
    <w:uiPriority w:val="9"/>
    <w:rsid w:val="00C64B74"/>
    <w:rPr>
      <w:rFonts w:ascii="IBM Plex Sans" w:eastAsiaTheme="majorEastAsia" w:hAnsi="IBM Plex Sans" w:cstheme="majorBidi"/>
      <w:i/>
      <w:iCs/>
      <w:sz w:val="24"/>
      <w:szCs w:val="24"/>
    </w:rPr>
  </w:style>
  <w:style w:type="character" w:customStyle="1" w:styleId="Ttulo8Car">
    <w:name w:val="Título 8 Car"/>
    <w:basedOn w:val="Fuentedeprrafopredeter"/>
    <w:link w:val="Ttulo8"/>
    <w:uiPriority w:val="9"/>
    <w:rsid w:val="00C64B74"/>
    <w:rPr>
      <w:rFonts w:asciiTheme="majorHAnsi" w:eastAsiaTheme="majorEastAsia" w:hAnsiTheme="majorHAnsi" w:cstheme="majorBidi"/>
      <w:color w:val="272727" w:themeColor="text1" w:themeTint="D8"/>
      <w:sz w:val="21"/>
      <w:szCs w:val="21"/>
    </w:rPr>
  </w:style>
  <w:style w:type="character" w:styleId="Nmerodepgina">
    <w:name w:val="page number"/>
    <w:basedOn w:val="Fuentedeprrafopredeter"/>
    <w:uiPriority w:val="99"/>
    <w:semiHidden/>
    <w:unhideWhenUsed/>
    <w:rsid w:val="00AC1A1C"/>
  </w:style>
  <w:style w:type="paragraph" w:styleId="Subttulo">
    <w:name w:val="Subtitle"/>
    <w:basedOn w:val="Normal"/>
    <w:next w:val="Normal"/>
    <w:link w:val="SubttuloCar"/>
    <w:uiPriority w:val="11"/>
    <w:qFormat/>
    <w:pPr>
      <w:spacing w:after="160"/>
    </w:pPr>
    <w:rPr>
      <w:rFonts w:ascii="IBM Plex Sans" w:eastAsia="IBM Plex Sans" w:hAnsi="IBM Plex Sans" w:cs="IBM Plex Sans"/>
      <w:color w:val="5A5A5A"/>
      <w:sz w:val="22"/>
      <w:szCs w:val="22"/>
    </w:rPr>
  </w:style>
  <w:style w:type="character" w:customStyle="1" w:styleId="SubttuloCar">
    <w:name w:val="Subtítulo Car"/>
    <w:basedOn w:val="Fuentedeprrafopredeter"/>
    <w:link w:val="Subttulo"/>
    <w:uiPriority w:val="11"/>
    <w:rsid w:val="00BB3986"/>
    <w:rPr>
      <w:rFonts w:ascii="IBM Plex Sans" w:eastAsiaTheme="minorEastAsia" w:hAnsi="IBM Plex Sans"/>
      <w:color w:val="5A5A5A" w:themeColor="text1" w:themeTint="A5"/>
      <w:spacing w:val="15"/>
    </w:rPr>
  </w:style>
  <w:style w:type="paragraph" w:styleId="Cita">
    <w:name w:val="Quote"/>
    <w:basedOn w:val="Normal"/>
    <w:next w:val="Normal"/>
    <w:link w:val="CitaCar"/>
    <w:uiPriority w:val="29"/>
    <w:qFormat/>
    <w:rsid w:val="00BB3986"/>
    <w:pPr>
      <w:spacing w:before="200" w:after="160"/>
      <w:ind w:left="864" w:right="864"/>
      <w:jc w:val="center"/>
    </w:pPr>
    <w:rPr>
      <w:rFonts w:ascii="IBM Plex Sans" w:hAnsi="IBM Plex Sans"/>
      <w:i/>
      <w:iCs/>
      <w:color w:val="404040" w:themeColor="text1" w:themeTint="BF"/>
    </w:rPr>
  </w:style>
  <w:style w:type="character" w:customStyle="1" w:styleId="CitaCar">
    <w:name w:val="Cita Car"/>
    <w:basedOn w:val="Fuentedeprrafopredeter"/>
    <w:link w:val="Cita"/>
    <w:uiPriority w:val="29"/>
    <w:rsid w:val="00BB3986"/>
    <w:rPr>
      <w:rFonts w:ascii="IBM Plex Sans" w:hAnsi="IBM Plex Sans"/>
      <w:i/>
      <w:iCs/>
      <w:color w:val="404040" w:themeColor="text1" w:themeTint="BF"/>
      <w:sz w:val="24"/>
      <w:szCs w:val="24"/>
    </w:rPr>
  </w:style>
  <w:style w:type="paragraph" w:styleId="Citadestacada">
    <w:name w:val="Intense Quote"/>
    <w:basedOn w:val="Normal"/>
    <w:next w:val="Normal"/>
    <w:link w:val="CitadestacadaCar"/>
    <w:uiPriority w:val="30"/>
    <w:qFormat/>
    <w:rsid w:val="00BB3986"/>
    <w:pPr>
      <w:pBdr>
        <w:top w:val="single" w:sz="4" w:space="10" w:color="4472C4" w:themeColor="accent1"/>
        <w:bottom w:val="single" w:sz="4" w:space="10" w:color="4472C4" w:themeColor="accent1"/>
      </w:pBdr>
      <w:spacing w:before="360" w:after="360"/>
      <w:ind w:left="864" w:right="864"/>
      <w:jc w:val="center"/>
    </w:pPr>
    <w:rPr>
      <w:rFonts w:ascii="IBM Plex Sans" w:hAnsi="IBM Plex Sans"/>
      <w:i/>
      <w:iCs/>
      <w:color w:val="4472C4" w:themeColor="accent1"/>
    </w:rPr>
  </w:style>
  <w:style w:type="character" w:customStyle="1" w:styleId="CitadestacadaCar">
    <w:name w:val="Cita destacada Car"/>
    <w:basedOn w:val="Fuentedeprrafopredeter"/>
    <w:link w:val="Citadestacada"/>
    <w:uiPriority w:val="30"/>
    <w:rsid w:val="00BB3986"/>
    <w:rPr>
      <w:rFonts w:ascii="IBM Plex Sans" w:hAnsi="IBM Plex Sans"/>
      <w:i/>
      <w:iCs/>
      <w:color w:val="4472C4" w:themeColor="accent1"/>
      <w:sz w:val="24"/>
      <w:szCs w:val="24"/>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Revisin">
    <w:name w:val="Revision"/>
    <w:hidden/>
    <w:uiPriority w:val="99"/>
    <w:semiHidden/>
    <w:rsid w:val="007F473C"/>
    <w:pPr>
      <w:spacing w:after="0" w:line="240" w:lineRule="auto"/>
    </w:pPr>
  </w:style>
  <w:style w:type="paragraph" w:styleId="Textodeglobo">
    <w:name w:val="Balloon Text"/>
    <w:basedOn w:val="Normal"/>
    <w:link w:val="TextodegloboCar"/>
    <w:uiPriority w:val="99"/>
    <w:semiHidden/>
    <w:unhideWhenUsed/>
    <w:rsid w:val="00EC70B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70B5"/>
    <w:rPr>
      <w:rFonts w:ascii="Segoe UI" w:hAnsi="Segoe UI" w:cs="Segoe UI"/>
      <w:sz w:val="18"/>
      <w:szCs w:val="18"/>
    </w:rPr>
  </w:style>
  <w:style w:type="paragraph" w:styleId="Prrafodelista">
    <w:name w:val="List Paragraph"/>
    <w:basedOn w:val="Normal"/>
    <w:uiPriority w:val="34"/>
    <w:qFormat/>
    <w:rsid w:val="00974B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 Id="rId22" Type="http://schemas.openxmlformats.org/officeDocument/2006/relationships/theme" Target="theme/theme1.xml"/><Relationship Id="rId27"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5Q4XW/6ew561kwXb7NoqlRG0Q==">CgMxLjAyCGguZ2pkZ3hzMg5oLmVvMzFmemQ1YWluazIJaC4xZm9iOXRlMg5oLmhrNHpzeHJxa2JjdDIOaC5vNTRzMzBtNGp6aHA4AHIhMTRhdkl2NVlUYmM0NWRLT0pMWnV3OHc3LV9WQ295QkhR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3139</Words>
  <Characters>17896</Characters>
  <Application>Microsoft Office Word</Application>
  <DocSecurity>0</DocSecurity>
  <Lines>149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María Paola Ruiz Bernardo</cp:lastModifiedBy>
  <cp:revision>5</cp:revision>
  <cp:lastPrinted>2023-06-30T09:11:00Z</cp:lastPrinted>
  <dcterms:created xsi:type="dcterms:W3CDTF">2023-06-30T07:52:00Z</dcterms:created>
  <dcterms:modified xsi:type="dcterms:W3CDTF">2023-06-30T09:11:00Z</dcterms:modified>
</cp:coreProperties>
</file>