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FF2" w:rsidRPr="006B37CA" w:rsidRDefault="009C2FF2" w:rsidP="009C2FF2">
      <w:pPr>
        <w:spacing w:line="360" w:lineRule="auto"/>
        <w:jc w:val="both"/>
        <w:rPr>
          <w:b/>
          <w:lang w:val="en-US"/>
        </w:rPr>
      </w:pPr>
      <w:r w:rsidRPr="006B37CA">
        <w:rPr>
          <w:b/>
          <w:lang w:val="en-US"/>
        </w:rPr>
        <w:t>Appendix A. Classification of voluntary organizations, according to the “internal” and “external” approaches</w:t>
      </w:r>
    </w:p>
    <w:p w:rsidR="009C2FF2" w:rsidRPr="006B37CA" w:rsidRDefault="009C2FF2" w:rsidP="009C2FF2">
      <w:pPr>
        <w:spacing w:line="360" w:lineRule="auto"/>
        <w:jc w:val="both"/>
        <w:rPr>
          <w:color w:val="FF0000"/>
          <w:lang w:val="en-US"/>
        </w:rPr>
      </w:pPr>
    </w:p>
    <w:p w:rsidR="009C2FF2" w:rsidRPr="006B37CA" w:rsidRDefault="009C2FF2" w:rsidP="009C2FF2">
      <w:pPr>
        <w:jc w:val="both"/>
        <w:rPr>
          <w:color w:val="FF0000"/>
          <w:lang w:val="en-US"/>
        </w:rPr>
      </w:pPr>
      <w:r w:rsidRPr="006B37CA">
        <w:rPr>
          <w:color w:val="000000"/>
          <w:lang w:val="en-US"/>
        </w:rPr>
        <w:t xml:space="preserve">Table A1. Sum </w:t>
      </w:r>
      <w:r w:rsidRPr="00F3680C">
        <w:rPr>
          <w:lang w:val="en-US"/>
        </w:rPr>
        <w:t>of</w:t>
      </w:r>
      <w:r w:rsidRPr="006B37CA">
        <w:rPr>
          <w:color w:val="000000"/>
          <w:lang w:val="en-US"/>
        </w:rPr>
        <w:t xml:space="preserve"> normalized diversity scores</w:t>
      </w:r>
      <w:r>
        <w:rPr>
          <w:color w:val="000000"/>
          <w:lang w:val="en-US"/>
        </w:rPr>
        <w:t xml:space="preserve"> (</w:t>
      </w:r>
      <w:r w:rsidRPr="006B37CA">
        <w:rPr>
          <w:color w:val="000000"/>
          <w:lang w:val="en-US"/>
        </w:rPr>
        <w:t xml:space="preserve">and their ranking on a scale from most bridging </w:t>
      </w:r>
      <w:r>
        <w:rPr>
          <w:color w:val="000000"/>
          <w:lang w:val="en-US"/>
        </w:rPr>
        <w:t xml:space="preserve">- </w:t>
      </w:r>
      <w:r w:rsidRPr="006B37CA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 - </w:t>
      </w:r>
      <w:r w:rsidRPr="006B37CA">
        <w:rPr>
          <w:color w:val="000000"/>
          <w:lang w:val="en-US"/>
        </w:rPr>
        <w:t xml:space="preserve">to most bonding </w:t>
      </w:r>
      <w:r>
        <w:rPr>
          <w:color w:val="000000"/>
          <w:lang w:val="en-US"/>
        </w:rPr>
        <w:t xml:space="preserve">- </w:t>
      </w:r>
      <w:r w:rsidRPr="006B37CA">
        <w:rPr>
          <w:color w:val="000000"/>
          <w:lang w:val="en-US"/>
        </w:rPr>
        <w:t>11</w:t>
      </w:r>
      <w:r>
        <w:rPr>
          <w:color w:val="000000"/>
          <w:lang w:val="en-US"/>
        </w:rPr>
        <w:t xml:space="preserve"> -</w:t>
      </w:r>
      <w:r w:rsidRPr="006B37CA">
        <w:rPr>
          <w:color w:val="000000"/>
          <w:lang w:val="en-US"/>
        </w:rPr>
        <w:t>), according to the "internal" approach</w:t>
      </w:r>
    </w:p>
    <w:tbl>
      <w:tblPr>
        <w:tblW w:w="13285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659"/>
        <w:gridCol w:w="53"/>
        <w:gridCol w:w="472"/>
        <w:gridCol w:w="69"/>
        <w:gridCol w:w="434"/>
        <w:gridCol w:w="210"/>
        <w:gridCol w:w="258"/>
        <w:gridCol w:w="149"/>
        <w:gridCol w:w="387"/>
        <w:gridCol w:w="209"/>
        <w:gridCol w:w="198"/>
        <w:gridCol w:w="217"/>
        <w:gridCol w:w="290"/>
        <w:gridCol w:w="210"/>
        <w:gridCol w:w="199"/>
        <w:gridCol w:w="255"/>
        <w:gridCol w:w="291"/>
        <w:gridCol w:w="209"/>
        <w:gridCol w:w="230"/>
        <w:gridCol w:w="225"/>
        <w:gridCol w:w="279"/>
        <w:gridCol w:w="221"/>
        <w:gridCol w:w="239"/>
        <w:gridCol w:w="208"/>
        <w:gridCol w:w="297"/>
        <w:gridCol w:w="203"/>
        <w:gridCol w:w="407"/>
        <w:gridCol w:w="500"/>
        <w:gridCol w:w="407"/>
        <w:gridCol w:w="500"/>
        <w:gridCol w:w="407"/>
        <w:gridCol w:w="507"/>
        <w:gridCol w:w="416"/>
        <w:gridCol w:w="514"/>
        <w:gridCol w:w="407"/>
      </w:tblGrid>
      <w:tr w:rsidR="009C2FF2" w:rsidTr="00BB2E24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Albania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Azerbaijan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Belarus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Bosnia and</w:t>
            </w:r>
          </w:p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Herzegovina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Bulgaria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Czechia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7" w:right="-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Estonia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1.466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1.589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0.601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1.312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0.774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1.317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0.880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0.744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0.848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3.553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0.960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0.808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1.631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0.490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0.781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Great Britain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Iceland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9" w:right="-7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Montenegro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11" w:right="-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Netherlands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0.234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0.636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0.676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0.742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0.641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0.588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2.288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1.611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2.615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0.616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0.378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1.088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1.024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</w:tr>
      <w:tr w:rsidR="009C2FF2" w:rsidTr="00BB2E24">
        <w:trPr>
          <w:trHeight w:val="260"/>
        </w:trPr>
        <w:tc>
          <w:tcPr>
            <w:tcW w:w="1287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line="360" w:lineRule="auto"/>
            </w:pPr>
          </w:p>
          <w:p w:rsidR="009C2FF2" w:rsidRDefault="009C2FF2" w:rsidP="00BB2E24">
            <w:r>
              <w:lastRenderedPageBreak/>
              <w:t>Table A1. (continued)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North </w:t>
            </w:r>
          </w:p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Macedonia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Slovakia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42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Switzerland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0.692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2.063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0.442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0.533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2.467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1.168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1.256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1.814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0.820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2.114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0.670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0.718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1.177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0.890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3.827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3.210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6B37CA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6B37CA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0.750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0.669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3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0.832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1.472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</w:tbl>
    <w:p w:rsidR="009C2FF2" w:rsidRPr="006B37CA" w:rsidRDefault="009C2FF2" w:rsidP="009C2FF2">
      <w:pPr>
        <w:tabs>
          <w:tab w:val="left" w:pos="480"/>
        </w:tabs>
        <w:ind w:left="-426" w:right="106"/>
        <w:jc w:val="both"/>
        <w:rPr>
          <w:sz w:val="16"/>
          <w:szCs w:val="16"/>
          <w:lang w:val="en-US"/>
        </w:rPr>
        <w:sectPr w:rsidR="009C2FF2" w:rsidRPr="006B37CA">
          <w:pgSz w:w="15840" w:h="12240" w:orient="landscape"/>
          <w:pgMar w:top="1701" w:right="1417" w:bottom="1701" w:left="1417" w:header="708" w:footer="708" w:gutter="0"/>
          <w:cols w:space="720"/>
        </w:sectPr>
      </w:pPr>
      <w:r w:rsidRPr="006B37CA">
        <w:rPr>
          <w:sz w:val="16"/>
          <w:szCs w:val="16"/>
          <w:lang w:val="en-US"/>
        </w:rPr>
        <w:t xml:space="preserve">The diversity score in each country have been constructed considering the following socio-demographic characteristics: religion, language, age, gender and education. </w:t>
      </w:r>
    </w:p>
    <w:p w:rsidR="009C2FF2" w:rsidRPr="009C762B" w:rsidRDefault="009C2FF2" w:rsidP="009C2FF2">
      <w:pPr>
        <w:rPr>
          <w:color w:val="000000"/>
          <w:lang w:val="en-US"/>
        </w:rPr>
      </w:pPr>
      <w:r w:rsidRPr="009C762B">
        <w:rPr>
          <w:color w:val="000000"/>
          <w:lang w:val="en-US"/>
        </w:rPr>
        <w:lastRenderedPageBreak/>
        <w:t xml:space="preserve">Table </w:t>
      </w:r>
      <w:r w:rsidRPr="00975D1B">
        <w:rPr>
          <w:color w:val="000000" w:themeColor="text1"/>
          <w:lang w:val="en-US"/>
        </w:rPr>
        <w:t>A2.</w:t>
      </w:r>
      <w:r w:rsidRPr="009C762B">
        <w:rPr>
          <w:color w:val="000000"/>
          <w:lang w:val="en-US"/>
        </w:rPr>
        <w:t xml:space="preserve"> The size-</w:t>
      </w:r>
      <w:r w:rsidRPr="00F3680C">
        <w:rPr>
          <w:lang w:val="en-US"/>
        </w:rPr>
        <w:t>corrected</w:t>
      </w:r>
      <w:r w:rsidRPr="009C762B">
        <w:rPr>
          <w:color w:val="000000"/>
          <w:lang w:val="en-US"/>
        </w:rPr>
        <w:t xml:space="preserve"> measure of interconnections in each specific association type</w:t>
      </w:r>
      <w:r>
        <w:rPr>
          <w:color w:val="000000"/>
          <w:lang w:val="en-US"/>
        </w:rPr>
        <w:t xml:space="preserve"> (</w:t>
      </w:r>
      <w:r w:rsidRPr="009C762B">
        <w:rPr>
          <w:color w:val="000000"/>
          <w:lang w:val="en-US"/>
        </w:rPr>
        <w:t xml:space="preserve">and their ranking on a scale from most connected </w:t>
      </w:r>
      <w:r>
        <w:rPr>
          <w:color w:val="000000"/>
          <w:lang w:val="en-US"/>
        </w:rPr>
        <w:t xml:space="preserve">- </w:t>
      </w:r>
      <w:r w:rsidRPr="009C762B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 -</w:t>
      </w:r>
      <w:r w:rsidRPr="009C762B">
        <w:rPr>
          <w:color w:val="000000"/>
          <w:lang w:val="en-US"/>
        </w:rPr>
        <w:t xml:space="preserve"> to most isolated </w:t>
      </w:r>
      <w:r>
        <w:rPr>
          <w:color w:val="000000"/>
          <w:lang w:val="en-US"/>
        </w:rPr>
        <w:t xml:space="preserve">- </w:t>
      </w:r>
      <w:r w:rsidRPr="009C762B">
        <w:rPr>
          <w:color w:val="000000"/>
          <w:lang w:val="en-US"/>
        </w:rPr>
        <w:t>11</w:t>
      </w:r>
      <w:r>
        <w:rPr>
          <w:color w:val="000000"/>
          <w:lang w:val="en-US"/>
        </w:rPr>
        <w:t xml:space="preserve"> -)</w:t>
      </w:r>
      <w:r w:rsidRPr="009C762B">
        <w:rPr>
          <w:color w:val="000000"/>
          <w:lang w:val="en-US"/>
        </w:rPr>
        <w:t>, according to the "external" approach</w:t>
      </w:r>
    </w:p>
    <w:tbl>
      <w:tblPr>
        <w:tblW w:w="13143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555"/>
        <w:gridCol w:w="454"/>
        <w:gridCol w:w="6"/>
        <w:gridCol w:w="555"/>
        <w:gridCol w:w="402"/>
        <w:gridCol w:w="6"/>
        <w:gridCol w:w="554"/>
        <w:gridCol w:w="402"/>
        <w:gridCol w:w="6"/>
        <w:gridCol w:w="555"/>
        <w:gridCol w:w="402"/>
        <w:gridCol w:w="6"/>
        <w:gridCol w:w="560"/>
        <w:gridCol w:w="418"/>
        <w:gridCol w:w="554"/>
        <w:gridCol w:w="460"/>
        <w:gridCol w:w="554"/>
        <w:gridCol w:w="408"/>
        <w:gridCol w:w="554"/>
        <w:gridCol w:w="408"/>
        <w:gridCol w:w="554"/>
        <w:gridCol w:w="408"/>
        <w:gridCol w:w="554"/>
        <w:gridCol w:w="408"/>
        <w:gridCol w:w="554"/>
        <w:gridCol w:w="413"/>
      </w:tblGrid>
      <w:tr w:rsidR="009C2FF2" w:rsidTr="00BB2E24">
        <w:trPr>
          <w:trHeight w:val="2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Albania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Azerbaijan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Belarus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Bosnia and</w:t>
            </w:r>
          </w:p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Herzegovina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Bulgaria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Czechia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30" w:right="-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Estonia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-0.076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sz w:val="16"/>
                <w:szCs w:val="16"/>
              </w:rPr>
            </w:pP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Great Britain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Iceland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28" w:right="-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Montenegro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28" w:right="-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Netherlands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-0.097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-0.108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-0.096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4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</w:tbl>
    <w:p w:rsidR="009C2FF2" w:rsidRDefault="009C2FF2" w:rsidP="009C2FF2">
      <w:pPr>
        <w:spacing w:line="360" w:lineRule="auto"/>
        <w:jc w:val="both"/>
        <w:rPr>
          <w:b/>
        </w:rPr>
      </w:pPr>
    </w:p>
    <w:p w:rsidR="009C2FF2" w:rsidRPr="00003F9C" w:rsidRDefault="009C2FF2" w:rsidP="009C2FF2">
      <w:pPr>
        <w:rPr>
          <w:b/>
          <w:color w:val="000000" w:themeColor="text1"/>
        </w:rPr>
      </w:pPr>
      <w:r>
        <w:br w:type="page"/>
      </w:r>
      <w:r w:rsidRPr="00003F9C">
        <w:rPr>
          <w:color w:val="000000" w:themeColor="text1"/>
        </w:rPr>
        <w:lastRenderedPageBreak/>
        <w:t>Table A2. (continued)</w:t>
      </w:r>
    </w:p>
    <w:tbl>
      <w:tblPr>
        <w:tblW w:w="13140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548"/>
        <w:gridCol w:w="531"/>
        <w:gridCol w:w="549"/>
        <w:gridCol w:w="404"/>
        <w:gridCol w:w="548"/>
        <w:gridCol w:w="403"/>
        <w:gridCol w:w="548"/>
        <w:gridCol w:w="403"/>
        <w:gridCol w:w="548"/>
        <w:gridCol w:w="403"/>
        <w:gridCol w:w="548"/>
        <w:gridCol w:w="403"/>
        <w:gridCol w:w="548"/>
        <w:gridCol w:w="403"/>
        <w:gridCol w:w="548"/>
        <w:gridCol w:w="403"/>
        <w:gridCol w:w="548"/>
        <w:gridCol w:w="403"/>
        <w:gridCol w:w="548"/>
        <w:gridCol w:w="403"/>
        <w:gridCol w:w="548"/>
        <w:gridCol w:w="403"/>
      </w:tblGrid>
      <w:tr w:rsidR="009C2FF2" w:rsidTr="00BB2E24">
        <w:trPr>
          <w:trHeight w:val="26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Organization type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North Macedonia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Russia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Slovakia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FF2" w:rsidRDefault="009C2FF2" w:rsidP="00BB2E24">
            <w:pPr>
              <w:ind w:left="-103" w:righ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Switzerland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Religion or church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Education, arts, music, or culture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-0.076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-0.077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Trade unions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Political groups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Environment and animal rights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Sports and recreation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Humanitarian or charitable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-0.063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Consumers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Self-help and mutual aid groups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</w:tr>
      <w:tr w:rsidR="009C2FF2" w:rsidTr="00BB2E24">
        <w:trPr>
          <w:trHeight w:val="26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spacing w:after="20"/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</w:p>
        </w:tc>
      </w:tr>
    </w:tbl>
    <w:p w:rsidR="009C2FF2" w:rsidRDefault="009C2FF2" w:rsidP="009C2FF2">
      <w:pPr>
        <w:spacing w:line="360" w:lineRule="auto"/>
        <w:jc w:val="both"/>
        <w:rPr>
          <w:b/>
        </w:rPr>
        <w:sectPr w:rsidR="009C2FF2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9C2FF2" w:rsidRDefault="009C2FF2" w:rsidP="009C2FF2">
      <w:pPr>
        <w:tabs>
          <w:tab w:val="left" w:pos="653"/>
        </w:tabs>
        <w:rPr>
          <w:sz w:val="20"/>
          <w:szCs w:val="20"/>
        </w:rPr>
      </w:pPr>
    </w:p>
    <w:p w:rsidR="009C2FF2" w:rsidRPr="009C762B" w:rsidRDefault="009C2FF2" w:rsidP="009C2FF2">
      <w:pPr>
        <w:spacing w:line="360" w:lineRule="auto"/>
        <w:rPr>
          <w:lang w:val="en-US"/>
        </w:rPr>
      </w:pPr>
      <w:r w:rsidRPr="009C762B">
        <w:rPr>
          <w:lang w:val="en-US"/>
        </w:rPr>
        <w:t>Figure A</w:t>
      </w:r>
      <w:r>
        <w:rPr>
          <w:lang w:val="en-US"/>
        </w:rPr>
        <w:t>1</w:t>
      </w:r>
      <w:r w:rsidRPr="009C762B">
        <w:rPr>
          <w:lang w:val="en-US"/>
        </w:rPr>
        <w:t xml:space="preserve">. </w:t>
      </w:r>
      <w:r w:rsidRPr="00F3680C">
        <w:rPr>
          <w:lang w:val="en-US"/>
        </w:rPr>
        <w:t>Correlation</w:t>
      </w:r>
      <w:r w:rsidRPr="009C762B">
        <w:rPr>
          <w:lang w:val="en-US"/>
        </w:rPr>
        <w:t xml:space="preserve"> across “internal” and “external” rankings</w:t>
      </w:r>
    </w:p>
    <w:p w:rsidR="009C2FF2" w:rsidRPr="009C762B" w:rsidRDefault="009C2FF2" w:rsidP="009C2FF2">
      <w:pPr>
        <w:rPr>
          <w:lang w:val="en-US"/>
        </w:rPr>
      </w:pPr>
    </w:p>
    <w:p w:rsidR="009C2FF2" w:rsidRDefault="009C2FF2" w:rsidP="009C2FF2">
      <w:pPr>
        <w:sectPr w:rsidR="009C2FF2">
          <w:pgSz w:w="12240" w:h="15840"/>
          <w:pgMar w:top="1417" w:right="1701" w:bottom="1417" w:left="1701" w:header="708" w:footer="708" w:gutter="0"/>
          <w:cols w:space="720"/>
        </w:sectPr>
      </w:pPr>
      <w:r>
        <w:rPr>
          <w:noProof/>
          <w:lang w:val="en-US" w:eastAsia="en-US"/>
        </w:rPr>
        <w:drawing>
          <wp:inline distT="0" distB="0" distL="0" distR="0" wp14:anchorId="7C4975F1" wp14:editId="293E9BE8">
            <wp:extent cx="5592445" cy="5992586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2FF2" w:rsidRPr="009C762B" w:rsidRDefault="009C2FF2" w:rsidP="009C2FF2">
      <w:pPr>
        <w:spacing w:line="360" w:lineRule="auto"/>
        <w:jc w:val="both"/>
        <w:rPr>
          <w:b/>
          <w:lang w:val="en-US"/>
        </w:rPr>
      </w:pPr>
      <w:r w:rsidRPr="009C762B">
        <w:rPr>
          <w:b/>
          <w:lang w:val="en-US"/>
        </w:rPr>
        <w:t xml:space="preserve">Appendix B. Robustness check </w:t>
      </w:r>
    </w:p>
    <w:p w:rsidR="009C2FF2" w:rsidRPr="009C762B" w:rsidRDefault="009C2FF2" w:rsidP="009C2FF2">
      <w:pPr>
        <w:rPr>
          <w:color w:val="000000"/>
          <w:lang w:val="en-US"/>
        </w:rPr>
      </w:pPr>
      <w:r w:rsidRPr="009C762B">
        <w:rPr>
          <w:color w:val="000000"/>
          <w:lang w:val="en-US"/>
        </w:rPr>
        <w:t xml:space="preserve">Table B1. </w:t>
      </w:r>
      <w:r w:rsidRPr="00F3680C">
        <w:rPr>
          <w:lang w:val="en-US"/>
        </w:rPr>
        <w:t>Results</w:t>
      </w:r>
      <w:r w:rsidRPr="009C762B">
        <w:rPr>
          <w:color w:val="000000"/>
          <w:lang w:val="en-US"/>
        </w:rPr>
        <w:t xml:space="preserve"> from Equation (1) with the </w:t>
      </w:r>
      <w:r>
        <w:rPr>
          <w:color w:val="000000"/>
          <w:lang w:val="en-US"/>
        </w:rPr>
        <w:t>“</w:t>
      </w:r>
      <w:r w:rsidRPr="009C762B">
        <w:rPr>
          <w:color w:val="000000"/>
          <w:lang w:val="en-US"/>
        </w:rPr>
        <w:t>internal</w:t>
      </w:r>
      <w:r>
        <w:rPr>
          <w:color w:val="000000"/>
          <w:lang w:val="en-US"/>
        </w:rPr>
        <w:t>”</w:t>
      </w:r>
      <w:r w:rsidRPr="009C762B">
        <w:rPr>
          <w:color w:val="000000"/>
          <w:lang w:val="en-US"/>
        </w:rPr>
        <w:t xml:space="preserve"> approach, considering </w:t>
      </w:r>
      <m:oMath>
        <m:r>
          <w:rPr>
            <w:rFonts w:ascii="Cambria Math" w:eastAsia="Cambria Math" w:hAnsi="Cambria Math" w:cs="Cambria Math"/>
            <w:color w:val="000000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'</m:t>
            </m:r>
          </m:sup>
        </m:sSubSup>
      </m:oMath>
      <w:r w:rsidRPr="009C762B">
        <w:rPr>
          <w:color w:val="000000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as potential endogeneous variables</w:t>
      </w:r>
    </w:p>
    <w:tbl>
      <w:tblPr>
        <w:tblW w:w="88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92"/>
        <w:gridCol w:w="1007"/>
        <w:gridCol w:w="671"/>
        <w:gridCol w:w="1277"/>
        <w:gridCol w:w="236"/>
        <w:gridCol w:w="873"/>
        <w:gridCol w:w="670"/>
      </w:tblGrid>
      <w:tr w:rsidR="009C2FF2" w:rsidTr="00BB2E24">
        <w:trPr>
          <w:trHeight w:val="144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(II)</w:t>
            </w:r>
          </w:p>
        </w:tc>
      </w:tr>
      <w:tr w:rsidR="009C2FF2" w:rsidTr="00BB2E24">
        <w:trPr>
          <w:trHeight w:val="100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Ordered probit with CFA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2SLS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Average ME 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BridgingS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0.120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(0.042)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0.057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(0.024)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MiddleS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0.203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(0.112)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0.175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(0.069)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BondingS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-0.693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(0.169)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-0.504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(0.101)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 variables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Country dummies </w:t>
            </w:r>
            <w:r w:rsidRPr="00046BA6">
              <w:rPr>
                <w:color w:val="C00000"/>
                <w:sz w:val="16"/>
                <w:szCs w:val="16"/>
              </w:rPr>
              <w:t>(</w:t>
            </w:r>
            <w:r>
              <w:rPr>
                <w:color w:val="C00000"/>
                <w:sz w:val="16"/>
                <w:szCs w:val="16"/>
              </w:rPr>
              <w:t>ref: Russia</w:t>
            </w:r>
            <w:r w:rsidRPr="00046BA6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9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Log-likelihood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-30,856.672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RPr="00F3680C" w:rsidTr="00BB2E24">
        <w:trPr>
          <w:trHeight w:val="320"/>
        </w:trPr>
        <w:tc>
          <w:tcPr>
            <w:tcW w:w="882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5F13D1">
              <w:rPr>
                <w:color w:val="000000" w:themeColor="text1"/>
                <w:sz w:val="16"/>
                <w:szCs w:val="16"/>
                <w:lang w:val="en-US"/>
              </w:rPr>
              <w:t>Joint significance of excluded instruments in the first-stage regressions for each potentially endogenous variable: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 w:hanging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BridgingS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621.34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 w:hanging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MiddleS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164.60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 w:hanging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BondingS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Int</m:t>
                    </m:r>
                  </m:sup>
                </m:sSub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80.87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6" w:hanging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H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147.04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6" w:hanging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V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258.84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RPr="00F3680C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Coeff. of residuals from first stages: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A7221D" w:rsidRDefault="009C2FF2" w:rsidP="00BB2E24">
            <w:pPr>
              <w:ind w:right="-26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sz w:val="16"/>
                <w:szCs w:val="16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-0.111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(0.043)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-0.205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(0.114)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0.649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(0.169)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9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-0.697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(0.140)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0.201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Joint significance of first-stage residuals in the main equation: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53.86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26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F13D1" w:rsidRDefault="009C2FF2" w:rsidP="00BB2E24">
            <w:pPr>
              <w:ind w:right="-26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LM statistic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26"/>
              <w:rPr>
                <w:sz w:val="16"/>
                <w:szCs w:val="16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186.600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Wald F statistic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36.646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Hansen J statistic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1.136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[0.286]</w:t>
            </w: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Durbin-Wu-Hausman test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17.07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62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6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F3680C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F3680C">
              <w:rPr>
                <w:color w:val="C00000"/>
                <w:sz w:val="16"/>
                <w:szCs w:val="16"/>
                <w:lang w:val="en-US"/>
              </w:rPr>
              <w:t>F-test for joint significance of country dummies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9102C5" w:rsidRDefault="009C2FF2" w:rsidP="00BB2E24">
            <w:pPr>
              <w:ind w:right="-103"/>
              <w:rPr>
                <w:color w:val="C00000"/>
                <w:sz w:val="16"/>
                <w:szCs w:val="16"/>
              </w:rPr>
            </w:pPr>
            <w:r w:rsidRPr="009102C5">
              <w:rPr>
                <w:color w:val="C00000"/>
                <w:sz w:val="16"/>
                <w:szCs w:val="16"/>
              </w:rPr>
              <w:t>1612.37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9102C5" w:rsidRDefault="009C2FF2" w:rsidP="00BB2E24">
            <w:pPr>
              <w:ind w:right="-103"/>
              <w:rPr>
                <w:color w:val="C00000"/>
                <w:sz w:val="16"/>
                <w:szCs w:val="16"/>
              </w:rPr>
            </w:pPr>
            <w:r w:rsidRPr="009102C5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9102C5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546004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546004">
              <w:rPr>
                <w:color w:val="C00000"/>
                <w:sz w:val="16"/>
                <w:szCs w:val="16"/>
              </w:rPr>
              <w:t>1527.76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46004" w:rsidRDefault="009C2FF2" w:rsidP="00BB2E24">
            <w:pPr>
              <w:ind w:right="-162"/>
              <w:rPr>
                <w:color w:val="C00000"/>
                <w:sz w:val="16"/>
                <w:szCs w:val="16"/>
              </w:rPr>
            </w:pPr>
            <w:r w:rsidRPr="00546004">
              <w:rPr>
                <w:color w:val="C00000"/>
                <w:sz w:val="16"/>
                <w:szCs w:val="16"/>
              </w:rPr>
              <w:t>[0.000]</w:t>
            </w:r>
          </w:p>
        </w:tc>
      </w:tr>
    </w:tbl>
    <w:p w:rsidR="009C2FF2" w:rsidRPr="009C762B" w:rsidRDefault="009C2FF2" w:rsidP="009C2FF2">
      <w:pPr>
        <w:ind w:right="333"/>
        <w:jc w:val="both"/>
        <w:rPr>
          <w:color w:val="000000"/>
          <w:sz w:val="16"/>
          <w:szCs w:val="16"/>
          <w:lang w:val="en-US"/>
        </w:rPr>
      </w:pPr>
      <w:r w:rsidRPr="009C762B">
        <w:rPr>
          <w:color w:val="000000"/>
          <w:sz w:val="16"/>
          <w:szCs w:val="16"/>
          <w:lang w:val="en-US"/>
        </w:rPr>
        <w:t xml:space="preserve">The standard errors in parentheses are bootstrapped with 1000 replications for the ordered probit with CFA (I) and heteroskedasticity-consistent for the 2SLS approach (II). We employ </w:t>
      </w:r>
      <w:r w:rsidRPr="009C762B">
        <w:rPr>
          <w:color w:val="000000"/>
          <w:sz w:val="16"/>
          <w:szCs w:val="16"/>
          <w:vertAlign w:val="superscript"/>
          <w:lang w:val="en-US"/>
        </w:rPr>
        <w:t>*</w:t>
      </w:r>
      <w:r w:rsidRPr="009C762B">
        <w:rPr>
          <w:color w:val="000000"/>
          <w:sz w:val="16"/>
          <w:szCs w:val="16"/>
          <w:lang w:val="en-US"/>
        </w:rPr>
        <w:t xml:space="preserve">, </w:t>
      </w:r>
      <w:r w:rsidRPr="009C762B">
        <w:rPr>
          <w:color w:val="000000"/>
          <w:sz w:val="16"/>
          <w:szCs w:val="16"/>
          <w:vertAlign w:val="superscript"/>
          <w:lang w:val="en-US"/>
        </w:rPr>
        <w:t>**</w:t>
      </w:r>
      <w:r w:rsidRPr="009C762B">
        <w:rPr>
          <w:color w:val="000000"/>
          <w:sz w:val="16"/>
          <w:szCs w:val="16"/>
          <w:lang w:val="en-US"/>
        </w:rPr>
        <w:t xml:space="preserve">, and </w:t>
      </w:r>
      <w:r w:rsidRPr="009C762B">
        <w:rPr>
          <w:color w:val="000000"/>
          <w:sz w:val="16"/>
          <w:szCs w:val="16"/>
          <w:vertAlign w:val="superscript"/>
          <w:lang w:val="en-US"/>
        </w:rPr>
        <w:t>***</w:t>
      </w:r>
      <w:r w:rsidRPr="009C762B">
        <w:rPr>
          <w:color w:val="000000"/>
          <w:sz w:val="16"/>
          <w:szCs w:val="16"/>
          <w:lang w:val="en-US"/>
        </w:rPr>
        <w:t xml:space="preserve"> to denote statistical significance at the 10%, 5%, and 1% levels, respectively. P-values are presented in brackets. The variables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val="en-US"/>
              </w:rPr>
              <m:t>'</m:t>
            </m:r>
          </m:sup>
        </m:sSubSup>
      </m:oMath>
      <w:r w:rsidRPr="009C762B">
        <w:rPr>
          <w:color w:val="000000"/>
          <w:sz w:val="16"/>
          <w:szCs w:val="16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have been instrumented by their corresponding averaged levels among individuals of the same linguistic and religious origin in the community (NUTS2 level) and the number of children. † We report the average marginal effects for the highest score of tax morality.</w:t>
      </w:r>
    </w:p>
    <w:p w:rsidR="009C2FF2" w:rsidRPr="009C762B" w:rsidRDefault="009C2FF2" w:rsidP="009C2FF2">
      <w:pPr>
        <w:rPr>
          <w:color w:val="000000"/>
          <w:sz w:val="20"/>
          <w:szCs w:val="20"/>
          <w:lang w:val="en-US"/>
        </w:rPr>
      </w:pPr>
      <w:r w:rsidRPr="009C762B">
        <w:rPr>
          <w:lang w:val="en-US"/>
        </w:rPr>
        <w:br w:type="page"/>
      </w:r>
    </w:p>
    <w:p w:rsidR="009C2FF2" w:rsidRPr="009C762B" w:rsidRDefault="009C2FF2" w:rsidP="009C2FF2">
      <w:pPr>
        <w:rPr>
          <w:color w:val="000000"/>
          <w:lang w:val="en-US"/>
        </w:rPr>
      </w:pPr>
      <w:r w:rsidRPr="009C762B">
        <w:rPr>
          <w:color w:val="000000"/>
          <w:lang w:val="en-US"/>
        </w:rPr>
        <w:t xml:space="preserve">Table B2. </w:t>
      </w:r>
      <w:r w:rsidRPr="00F3680C">
        <w:rPr>
          <w:lang w:val="en-US"/>
        </w:rPr>
        <w:t>Results</w:t>
      </w:r>
      <w:r w:rsidRPr="009C762B">
        <w:rPr>
          <w:color w:val="000000"/>
          <w:lang w:val="en-US"/>
        </w:rPr>
        <w:t xml:space="preserve"> from Equation (1) with the </w:t>
      </w:r>
      <w:r>
        <w:rPr>
          <w:color w:val="000000"/>
          <w:lang w:val="en-US"/>
        </w:rPr>
        <w:t>“</w:t>
      </w:r>
      <w:r w:rsidRPr="009C762B">
        <w:rPr>
          <w:color w:val="000000"/>
          <w:lang w:val="en-US"/>
        </w:rPr>
        <w:t>external</w:t>
      </w:r>
      <w:r>
        <w:rPr>
          <w:color w:val="000000"/>
          <w:lang w:val="en-US"/>
        </w:rPr>
        <w:t>”</w:t>
      </w:r>
      <w:r w:rsidRPr="009C762B">
        <w:rPr>
          <w:color w:val="000000"/>
          <w:lang w:val="en-US"/>
        </w:rPr>
        <w:t xml:space="preserve"> approach, considering </w:t>
      </w:r>
      <m:oMath>
        <m:r>
          <w:rPr>
            <w:rFonts w:ascii="Cambria Math" w:eastAsia="Cambria Math" w:hAnsi="Cambria Math" w:cs="Cambria Math"/>
            <w:color w:val="000000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'</m:t>
            </m:r>
          </m:sup>
        </m:sSubSup>
      </m:oMath>
      <w:r w:rsidRPr="009C762B">
        <w:rPr>
          <w:color w:val="000000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as potential endogeneous variables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94"/>
        <w:gridCol w:w="1112"/>
        <w:gridCol w:w="830"/>
        <w:gridCol w:w="1146"/>
        <w:gridCol w:w="236"/>
        <w:gridCol w:w="806"/>
        <w:gridCol w:w="604"/>
      </w:tblGrid>
      <w:tr w:rsidR="009C2FF2" w:rsidTr="00BB2E24">
        <w:trPr>
          <w:trHeight w:val="144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(II)</w:t>
            </w:r>
          </w:p>
        </w:tc>
      </w:tr>
      <w:tr w:rsidR="009C2FF2" w:rsidTr="00BB2E24">
        <w:trPr>
          <w:trHeight w:val="100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Ordered probit with CFA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2SLS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Average ME 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BridgingS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0.173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(0.056)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0.108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(0.031)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MiddleS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-0.202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(0.162)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(0.101)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BondingS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-0.137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(0.074)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-0.033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-0.120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(0.044)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 variables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Country dummies </w:t>
            </w:r>
            <w:r w:rsidRPr="00046BA6">
              <w:rPr>
                <w:color w:val="C00000"/>
                <w:sz w:val="16"/>
                <w:szCs w:val="16"/>
              </w:rPr>
              <w:t>(</w:t>
            </w:r>
            <w:r>
              <w:rPr>
                <w:color w:val="C00000"/>
                <w:sz w:val="16"/>
                <w:szCs w:val="16"/>
              </w:rPr>
              <w:t>ref: Russia</w:t>
            </w:r>
            <w:r w:rsidRPr="00046BA6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9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Log-likelihood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-30866.667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RPr="00F3680C" w:rsidTr="00BB2E24">
        <w:trPr>
          <w:trHeight w:val="320"/>
        </w:trPr>
        <w:tc>
          <w:tcPr>
            <w:tcW w:w="88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Joint significance of excluded instruments in the first-stage regressions for each potentially endogenous variable: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BridgingS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502.40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MiddleS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67.04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BondingS</m:t>
                </m:r>
                <m:sSubSup>
                  <m:sSubSup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Ext</m:t>
                    </m:r>
                  </m:sup>
                </m:sSubSup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180.45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H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123.11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000000"/>
                    <w:sz w:val="16"/>
                    <w:szCs w:val="16"/>
                  </w:rPr>
                  <m:t>V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215.77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RPr="009C762B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Coeff. of residuals from first stages: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-0.184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(0.057)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(0.163)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0.132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(0.075)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9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-0.719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(0.137)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0.207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(0.053)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Joint significance of first-stage residuals in the main equation: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45.84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left="-14"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LM statistic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238.273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Wald F statistic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ind w:right="-142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45.531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Hansen J statistic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1.892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[0.169]</w:t>
            </w:r>
          </w:p>
        </w:tc>
      </w:tr>
      <w:tr w:rsidR="009C2FF2" w:rsidTr="00BB2E24">
        <w:trPr>
          <w:trHeight w:val="95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Durbin-Wu-Hausman test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14.85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95"/>
        </w:trPr>
        <w:tc>
          <w:tcPr>
            <w:tcW w:w="4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</w:tr>
      <w:tr w:rsidR="009C2FF2" w:rsidTr="00BB2E24">
        <w:trPr>
          <w:trHeight w:val="95"/>
        </w:trPr>
        <w:tc>
          <w:tcPr>
            <w:tcW w:w="4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 w:rsidRPr="00546004">
              <w:rPr>
                <w:color w:val="C00000"/>
                <w:sz w:val="16"/>
                <w:szCs w:val="16"/>
              </w:rPr>
              <w:t>F-test for joint significance of country dummies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B96DE1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B96DE1">
              <w:rPr>
                <w:color w:val="C00000"/>
                <w:sz w:val="16"/>
                <w:szCs w:val="16"/>
              </w:rPr>
              <w:t>1665.81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B96DE1" w:rsidRDefault="009C2FF2" w:rsidP="00BB2E24">
            <w:pPr>
              <w:ind w:right="-142"/>
              <w:rPr>
                <w:color w:val="C00000"/>
                <w:sz w:val="16"/>
                <w:szCs w:val="16"/>
              </w:rPr>
            </w:pPr>
            <w:r w:rsidRPr="00B96DE1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 w:rsidRPr="0060305F">
              <w:rPr>
                <w:color w:val="C00000"/>
                <w:sz w:val="16"/>
                <w:szCs w:val="16"/>
              </w:rPr>
              <w:t>1581.36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142"/>
              <w:rPr>
                <w:color w:val="000000"/>
                <w:sz w:val="16"/>
                <w:szCs w:val="16"/>
              </w:rPr>
            </w:pPr>
            <w:r w:rsidRPr="009102C5">
              <w:rPr>
                <w:color w:val="C00000"/>
                <w:sz w:val="16"/>
                <w:szCs w:val="16"/>
              </w:rPr>
              <w:t>[0.000]</w:t>
            </w:r>
          </w:p>
        </w:tc>
      </w:tr>
    </w:tbl>
    <w:p w:rsidR="009C2FF2" w:rsidRPr="009C762B" w:rsidRDefault="009C2FF2" w:rsidP="009C2FF2">
      <w:pPr>
        <w:ind w:right="333"/>
        <w:jc w:val="both"/>
        <w:rPr>
          <w:color w:val="000000"/>
          <w:sz w:val="16"/>
          <w:szCs w:val="16"/>
          <w:lang w:val="en-US"/>
        </w:rPr>
        <w:sectPr w:rsidR="009C2FF2" w:rsidRPr="009C762B">
          <w:pgSz w:w="12240" w:h="15840"/>
          <w:pgMar w:top="1417" w:right="1701" w:bottom="1417" w:left="1701" w:header="708" w:footer="708" w:gutter="0"/>
          <w:cols w:space="720"/>
        </w:sectPr>
      </w:pPr>
      <w:r w:rsidRPr="009C762B">
        <w:rPr>
          <w:color w:val="000000"/>
          <w:sz w:val="16"/>
          <w:szCs w:val="16"/>
          <w:lang w:val="en-US"/>
        </w:rPr>
        <w:t xml:space="preserve">The standard errors in parentheses are bootstrapped with 1000 replications for the ordered probit with CFA (I) and heteroskedasticity-consistent for the 2SLS approach (II). We employ </w:t>
      </w:r>
      <w:r w:rsidRPr="009C762B">
        <w:rPr>
          <w:color w:val="000000"/>
          <w:sz w:val="16"/>
          <w:szCs w:val="16"/>
          <w:vertAlign w:val="superscript"/>
          <w:lang w:val="en-US"/>
        </w:rPr>
        <w:t>*</w:t>
      </w:r>
      <w:r w:rsidRPr="009C762B">
        <w:rPr>
          <w:color w:val="000000"/>
          <w:sz w:val="16"/>
          <w:szCs w:val="16"/>
          <w:lang w:val="en-US"/>
        </w:rPr>
        <w:t xml:space="preserve">, </w:t>
      </w:r>
      <w:r w:rsidRPr="009C762B">
        <w:rPr>
          <w:color w:val="000000"/>
          <w:sz w:val="16"/>
          <w:szCs w:val="16"/>
          <w:vertAlign w:val="superscript"/>
          <w:lang w:val="en-US"/>
        </w:rPr>
        <w:t>**</w:t>
      </w:r>
      <w:r w:rsidRPr="009C762B">
        <w:rPr>
          <w:color w:val="000000"/>
          <w:sz w:val="16"/>
          <w:szCs w:val="16"/>
          <w:lang w:val="en-US"/>
        </w:rPr>
        <w:t xml:space="preserve">, and </w:t>
      </w:r>
      <w:r w:rsidRPr="009C762B">
        <w:rPr>
          <w:color w:val="000000"/>
          <w:sz w:val="16"/>
          <w:szCs w:val="16"/>
          <w:vertAlign w:val="superscript"/>
          <w:lang w:val="en-US"/>
        </w:rPr>
        <w:t>***</w:t>
      </w:r>
      <w:r w:rsidRPr="009C762B">
        <w:rPr>
          <w:color w:val="000000"/>
          <w:sz w:val="16"/>
          <w:szCs w:val="16"/>
          <w:lang w:val="en-US"/>
        </w:rPr>
        <w:t xml:space="preserve"> to denote statistical significance at the 10%, 5%, and 1% levels, respectively. P-values are presented in brackets. The variables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val="en-US"/>
              </w:rPr>
              <m:t>'</m:t>
            </m:r>
          </m:sup>
        </m:sSubSup>
      </m:oMath>
      <w:r w:rsidRPr="009C762B">
        <w:rPr>
          <w:color w:val="000000"/>
          <w:sz w:val="16"/>
          <w:szCs w:val="16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have been instrumented by their corresponding averaged levels among individuals of the same linguistic and religious origin in the community (NUTS2 level) and the number of children. † We report the average marginal effects for the highest score of tax morality.</w:t>
      </w:r>
    </w:p>
    <w:p w:rsidR="009C2FF2" w:rsidRPr="009C762B" w:rsidRDefault="009C2FF2" w:rsidP="009C2FF2">
      <w:pPr>
        <w:jc w:val="both"/>
        <w:rPr>
          <w:color w:val="000000"/>
          <w:lang w:val="en-US"/>
        </w:rPr>
      </w:pPr>
      <w:r w:rsidRPr="009C762B">
        <w:rPr>
          <w:color w:val="000000"/>
          <w:lang w:val="en-US"/>
        </w:rPr>
        <w:t xml:space="preserve">Table B3. Results from Equation (1) with the </w:t>
      </w:r>
      <w:r>
        <w:rPr>
          <w:color w:val="000000"/>
          <w:lang w:val="en-US"/>
        </w:rPr>
        <w:t>“</w:t>
      </w:r>
      <w:r w:rsidRPr="009C762B">
        <w:rPr>
          <w:color w:val="000000"/>
          <w:lang w:val="en-US"/>
        </w:rPr>
        <w:t>integrating</w:t>
      </w:r>
      <w:r>
        <w:rPr>
          <w:color w:val="000000"/>
          <w:lang w:val="en-US"/>
        </w:rPr>
        <w:t>”</w:t>
      </w:r>
      <w:r w:rsidRPr="009C762B">
        <w:rPr>
          <w:color w:val="000000"/>
          <w:lang w:val="en-US"/>
        </w:rPr>
        <w:t xml:space="preserve"> approach, considering </w:t>
      </w:r>
      <m:oMath>
        <m:r>
          <w:rPr>
            <w:rFonts w:ascii="Cambria Math" w:eastAsia="Cambria Math" w:hAnsi="Cambria Math" w:cs="Cambria Math"/>
            <w:color w:val="000000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'</m:t>
            </m:r>
          </m:sup>
        </m:sSubSup>
      </m:oMath>
      <w:r w:rsidRPr="009C762B">
        <w:rPr>
          <w:color w:val="000000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ic</m:t>
            </m:r>
          </m:sub>
        </m:sSub>
      </m:oMath>
      <w:r w:rsidRPr="009C762B">
        <w:rPr>
          <w:color w:val="000000"/>
          <w:lang w:val="en-US"/>
        </w:rPr>
        <w:t xml:space="preserve"> as potential endogeneous variables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92"/>
        <w:gridCol w:w="1081"/>
        <w:gridCol w:w="814"/>
        <w:gridCol w:w="1130"/>
        <w:gridCol w:w="236"/>
        <w:gridCol w:w="791"/>
        <w:gridCol w:w="684"/>
      </w:tblGrid>
      <w:tr w:rsidR="009C2FF2" w:rsidTr="00BB2E24">
        <w:trPr>
          <w:trHeight w:val="144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(II)</w:t>
            </w:r>
          </w:p>
        </w:tc>
      </w:tr>
      <w:tr w:rsidR="009C2FF2" w:rsidTr="00BB2E24">
        <w:trPr>
          <w:trHeight w:val="100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Ordered probit with CFA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2SLS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right="-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Average ME 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Coeff.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  <w:lang w:val="en-US"/>
                    </w:rPr>
                    <m:t>1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val="en-US"/>
              </w:rPr>
              <w:t xml:space="preserve">           (bridging-bridging)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0.271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(0.062)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0.150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(0.035)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C2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 xml:space="preserve">           (bridging-middle)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(0.115)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0.121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(0.079)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C3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 xml:space="preserve">           (middle-middle)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(0.286)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0.082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(0.160)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C4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 xml:space="preserve">           (bridging-bonding)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-0.253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(0.087)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-0.069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-0.167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(0.051)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C5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 xml:space="preserve">           (middle-bonding)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0.578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(0.231)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0.157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0.325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(0.135)</w:t>
            </w:r>
          </w:p>
        </w:tc>
      </w:tr>
      <w:tr w:rsidR="009C2FF2" w:rsidTr="00BB2E24">
        <w:trPr>
          <w:trHeight w:val="62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:rsidR="009C2FF2" w:rsidRPr="003A3AA6" w:rsidRDefault="009C2FF2" w:rsidP="00BB2E24">
            <w:p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C6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16"/>
                      <w:szCs w:val="16"/>
                    </w:rPr>
                    <m:t>ic</m:t>
                  </m:r>
                </m:sub>
              </m:sSub>
            </m:oMath>
            <w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w:t xml:space="preserve">           (bonding-bonding)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-1.084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(0.332)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-0.294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-0.845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(0.204)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Control variables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Country dummies </w:t>
            </w:r>
            <w:r w:rsidRPr="00046BA6">
              <w:rPr>
                <w:color w:val="C00000"/>
                <w:sz w:val="16"/>
                <w:szCs w:val="16"/>
              </w:rPr>
              <w:t>(</w:t>
            </w:r>
            <w:r>
              <w:rPr>
                <w:color w:val="C00000"/>
                <w:sz w:val="16"/>
                <w:szCs w:val="16"/>
              </w:rPr>
              <w:t>ref: Russia</w:t>
            </w:r>
            <w:r w:rsidRPr="00046BA6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000000" w:themeColor="text1"/>
                <w:sz w:val="16"/>
                <w:szCs w:val="16"/>
              </w:rPr>
            </w:pPr>
            <w:r w:rsidRPr="001E7DAF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9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Observations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0367CC" w:rsidRDefault="009C2FF2" w:rsidP="00BB2E24">
            <w:pPr>
              <w:rPr>
                <w:color w:val="C00000"/>
                <w:sz w:val="16"/>
                <w:szCs w:val="16"/>
              </w:rPr>
            </w:pPr>
            <w:r w:rsidRPr="000367CC">
              <w:rPr>
                <w:color w:val="C00000"/>
                <w:sz w:val="16"/>
                <w:szCs w:val="16"/>
              </w:rPr>
              <w:t>40,736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0367CC" w:rsidRDefault="009C2FF2" w:rsidP="00BB2E24">
            <w:pPr>
              <w:rPr>
                <w:color w:val="C00000"/>
                <w:sz w:val="16"/>
                <w:szCs w:val="16"/>
              </w:rPr>
            </w:pPr>
            <w:r w:rsidRPr="000367CC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Log-likelihood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-30843.621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RPr="009C762B" w:rsidTr="00BB2E24">
        <w:trPr>
          <w:trHeight w:val="141"/>
        </w:trPr>
        <w:tc>
          <w:tcPr>
            <w:tcW w:w="882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5308B4">
              <w:rPr>
                <w:color w:val="000000" w:themeColor="text1"/>
                <w:sz w:val="16"/>
                <w:szCs w:val="16"/>
                <w:lang w:val="en-US"/>
              </w:rPr>
              <w:t>Joint significance of excluded instruments in the first-stage regressions for each potentially endogenous variable: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C1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542.27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C2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149.69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C3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62.01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C4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168.25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C5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34.59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C6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38.00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H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83.57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3A3AA6" w:rsidRDefault="009C2FF2" w:rsidP="00BB2E24">
            <w:pPr>
              <w:ind w:left="167"/>
              <w:jc w:val="center"/>
              <w:rPr>
                <w:rFonts w:ascii="Cambria Math" w:eastAsia="Cambria Math" w:hAnsi="Cambria Math" w:cs="Cambria Math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sz w:val="16"/>
                    <w:szCs w:val="16"/>
                  </w:rPr>
                  <m:t>V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144.20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RPr="00F3680C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Coeff. of residuals from first stages: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  <w:lang w:val="en-US"/>
              </w:rPr>
            </w:pPr>
            <w:r w:rsidRPr="005308B4">
              <w:rPr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-0.246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(0.065)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-0.084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(0.117)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-0.049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(0.286)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9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0.233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(0.087)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-0.554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(0.231)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  <w:r w:rsidRPr="005308B4">
              <w:rPr>
                <w:color w:val="FF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1.034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(0.333)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-0.738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(0.141)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ind w:left="62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0.210</w:t>
            </w:r>
            <w:r w:rsidRPr="001E7DAF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(0.054)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Joint significance of first-stage residuals in the main equation: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64.09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LM statistic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124.293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Pr="009C762B" w:rsidRDefault="009C2FF2" w:rsidP="00BB2E24">
            <w:pPr>
              <w:rPr>
                <w:color w:val="000000"/>
                <w:sz w:val="16"/>
                <w:szCs w:val="16"/>
                <w:lang w:val="en-US"/>
              </w:rPr>
            </w:pPr>
            <w:r w:rsidRPr="009C762B">
              <w:rPr>
                <w:color w:val="000000"/>
                <w:sz w:val="16"/>
                <w:szCs w:val="16"/>
                <w:lang w:val="en-US"/>
              </w:rPr>
              <w:t>Kleibergen-Paap rk Wald F statistic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15.650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</w:tr>
      <w:tr w:rsidR="009C2FF2" w:rsidTr="00BB2E24">
        <w:trPr>
          <w:trHeight w:val="53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Hansen J statistic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1.831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[0.176]</w:t>
            </w: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Durbin-Wu-Hausman test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12.41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</w:tr>
      <w:tr w:rsidR="009C2FF2" w:rsidTr="00BB2E24">
        <w:trPr>
          <w:trHeight w:val="9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Default="009C2FF2" w:rsidP="00BB2E24">
            <w:pPr>
              <w:rPr>
                <w:color w:val="000000"/>
                <w:sz w:val="16"/>
                <w:szCs w:val="16"/>
              </w:rPr>
            </w:pPr>
            <w:r w:rsidRPr="00546004">
              <w:rPr>
                <w:color w:val="C00000"/>
                <w:sz w:val="16"/>
                <w:szCs w:val="16"/>
              </w:rPr>
              <w:t>F-test for joint significance of country dummies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C00000"/>
                <w:sz w:val="16"/>
                <w:szCs w:val="16"/>
              </w:rPr>
            </w:pPr>
            <w:r w:rsidRPr="002618FD">
              <w:rPr>
                <w:color w:val="C00000"/>
                <w:sz w:val="16"/>
                <w:szCs w:val="16"/>
              </w:rPr>
              <w:t>1359.99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2618FD" w:rsidRDefault="009C2FF2" w:rsidP="00BB2E24">
            <w:pPr>
              <w:rPr>
                <w:color w:val="C00000"/>
                <w:sz w:val="16"/>
                <w:szCs w:val="16"/>
              </w:rPr>
            </w:pPr>
            <w:r w:rsidRPr="002618FD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5308B4" w:rsidRDefault="009C2FF2" w:rsidP="00BB2E2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1308.35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FF2" w:rsidRPr="001E7DAF" w:rsidRDefault="009C2FF2" w:rsidP="00BB2E24">
            <w:pPr>
              <w:rPr>
                <w:color w:val="C00000"/>
                <w:sz w:val="16"/>
                <w:szCs w:val="16"/>
              </w:rPr>
            </w:pPr>
            <w:r w:rsidRPr="001E7DAF">
              <w:rPr>
                <w:color w:val="C00000"/>
                <w:sz w:val="16"/>
                <w:szCs w:val="16"/>
              </w:rPr>
              <w:t>[0.000]</w:t>
            </w:r>
          </w:p>
        </w:tc>
      </w:tr>
    </w:tbl>
    <w:p w:rsidR="009C2FF2" w:rsidRPr="009C762B" w:rsidRDefault="009C2FF2" w:rsidP="009C2FF2">
      <w:pPr>
        <w:ind w:right="333"/>
        <w:jc w:val="both"/>
        <w:rPr>
          <w:sz w:val="16"/>
          <w:szCs w:val="16"/>
          <w:lang w:val="en-US"/>
        </w:rPr>
      </w:pPr>
      <w:r w:rsidRPr="009C762B">
        <w:rPr>
          <w:color w:val="000000"/>
          <w:sz w:val="16"/>
          <w:szCs w:val="16"/>
          <w:lang w:val="en-US"/>
        </w:rPr>
        <w:t xml:space="preserve">The standard errors in parentheses are bootstrapped with 1000 replications for the ordered probit with CFA (I) and heteroskedasticity-consistent for the 2SLS approach (II). We employ </w:t>
      </w:r>
      <w:r w:rsidRPr="009C762B">
        <w:rPr>
          <w:color w:val="000000"/>
          <w:sz w:val="16"/>
          <w:szCs w:val="16"/>
          <w:vertAlign w:val="superscript"/>
          <w:lang w:val="en-US"/>
        </w:rPr>
        <w:t>*</w:t>
      </w:r>
      <w:r w:rsidRPr="009C762B">
        <w:rPr>
          <w:color w:val="000000"/>
          <w:sz w:val="16"/>
          <w:szCs w:val="16"/>
          <w:lang w:val="en-US"/>
        </w:rPr>
        <w:t xml:space="preserve">, </w:t>
      </w:r>
      <w:r w:rsidRPr="009C762B">
        <w:rPr>
          <w:color w:val="000000"/>
          <w:sz w:val="16"/>
          <w:szCs w:val="16"/>
          <w:vertAlign w:val="superscript"/>
          <w:lang w:val="en-US"/>
        </w:rPr>
        <w:t>**</w:t>
      </w:r>
      <w:r w:rsidRPr="009C762B">
        <w:rPr>
          <w:color w:val="000000"/>
          <w:sz w:val="16"/>
          <w:szCs w:val="16"/>
          <w:lang w:val="en-US"/>
        </w:rPr>
        <w:t xml:space="preserve">, and </w:t>
      </w:r>
      <w:r w:rsidRPr="009C762B">
        <w:rPr>
          <w:color w:val="000000"/>
          <w:sz w:val="16"/>
          <w:szCs w:val="16"/>
          <w:vertAlign w:val="superscript"/>
          <w:lang w:val="en-US"/>
        </w:rPr>
        <w:t>***</w:t>
      </w:r>
      <w:r w:rsidRPr="009C762B">
        <w:rPr>
          <w:color w:val="000000"/>
          <w:sz w:val="16"/>
          <w:szCs w:val="16"/>
          <w:lang w:val="en-US"/>
        </w:rPr>
        <w:t xml:space="preserve"> to denote statistical significance at the 10%, 5%, and 1% levels, respectively. P-values are presented in brackets. The variables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  <w:lang w:val="en-US"/>
              </w:rPr>
              <m:t>'</m:t>
            </m:r>
          </m:sup>
        </m:sSubSup>
      </m:oMath>
      <w:r w:rsidRPr="009C762B">
        <w:rPr>
          <w:color w:val="000000"/>
          <w:sz w:val="16"/>
          <w:szCs w:val="16"/>
          <w:lang w:val="en-US"/>
        </w:rPr>
        <w:t xml:space="preserve">,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H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and </w:t>
      </w:r>
      <m:oMath>
        <m:r>
          <w:rPr>
            <w:rFonts w:ascii="Cambria Math" w:eastAsia="Cambria Math" w:hAnsi="Cambria Math" w:cs="Cambria Math"/>
            <w:color w:val="000000"/>
            <w:sz w:val="16"/>
            <w:szCs w:val="16"/>
          </w:rPr>
          <m:t>V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16"/>
                <w:szCs w:val="16"/>
              </w:rPr>
              <m:t>ic</m:t>
            </m:r>
          </m:sub>
        </m:sSub>
      </m:oMath>
      <w:r w:rsidRPr="009C762B">
        <w:rPr>
          <w:color w:val="000000"/>
          <w:sz w:val="16"/>
          <w:szCs w:val="16"/>
          <w:lang w:val="en-US"/>
        </w:rPr>
        <w:t xml:space="preserve"> have been instrumented by their corresponding averaged levels among individuals of the same linguistic and religious origin in the community (NUTS2 level) and the number of children. † We report the average marginal effects for the highest score of tax morality.</w:t>
      </w:r>
    </w:p>
    <w:p w:rsidR="009C2FF2" w:rsidRPr="009C762B" w:rsidRDefault="009C2FF2" w:rsidP="009C2FF2">
      <w:pPr>
        <w:jc w:val="both"/>
        <w:rPr>
          <w:sz w:val="20"/>
          <w:szCs w:val="20"/>
          <w:lang w:val="en-US"/>
        </w:rPr>
      </w:pPr>
    </w:p>
    <w:p w:rsidR="009C2FF2" w:rsidRPr="009C762B" w:rsidRDefault="009C2FF2" w:rsidP="009C2FF2">
      <w:pPr>
        <w:jc w:val="both"/>
        <w:rPr>
          <w:sz w:val="20"/>
          <w:szCs w:val="20"/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F3680C" w:rsidRDefault="009C2FF2" w:rsidP="009C2FF2">
      <w:pPr>
        <w:rPr>
          <w:lang w:val="en-US"/>
        </w:rPr>
      </w:pPr>
    </w:p>
    <w:p w:rsidR="009C2FF2" w:rsidRPr="004A427F" w:rsidRDefault="009C2FF2" w:rsidP="009C2FF2">
      <w:pPr>
        <w:spacing w:line="360" w:lineRule="auto"/>
        <w:rPr>
          <w:color w:val="000000"/>
          <w:lang w:val="en-US"/>
        </w:rPr>
      </w:pPr>
    </w:p>
    <w:p w:rsidR="009C2FF2" w:rsidRPr="004A427F" w:rsidRDefault="009C2FF2" w:rsidP="009C2FF2">
      <w:pPr>
        <w:spacing w:line="360" w:lineRule="auto"/>
        <w:rPr>
          <w:color w:val="000000"/>
          <w:lang w:val="en-US"/>
        </w:rPr>
        <w:sectPr w:rsidR="009C2FF2" w:rsidRPr="004A427F">
          <w:pgSz w:w="12240" w:h="15840"/>
          <w:pgMar w:top="1417" w:right="1701" w:bottom="1417" w:left="1701" w:header="708" w:footer="708" w:gutter="0"/>
          <w:cols w:space="720"/>
        </w:sectPr>
      </w:pPr>
    </w:p>
    <w:p w:rsidR="009C2FF2" w:rsidRPr="00BF7ECB" w:rsidRDefault="009C2FF2" w:rsidP="009C2FF2">
      <w:pPr>
        <w:spacing w:line="360" w:lineRule="auto"/>
        <w:jc w:val="both"/>
        <w:rPr>
          <w:b/>
          <w:color w:val="C00000"/>
          <w:lang w:val="en-US"/>
        </w:rPr>
      </w:pPr>
      <w:r w:rsidRPr="00BF7ECB">
        <w:rPr>
          <w:b/>
          <w:color w:val="C00000"/>
          <w:lang w:val="en-US"/>
        </w:rPr>
        <w:t xml:space="preserve">Appendix C. </w:t>
      </w:r>
      <w:r>
        <w:rPr>
          <w:b/>
          <w:color w:val="C00000"/>
          <w:lang w:val="en-US"/>
        </w:rPr>
        <w:t>Alternative results with the “i</w:t>
      </w:r>
      <w:r w:rsidRPr="00BF7ECB">
        <w:rPr>
          <w:b/>
          <w:color w:val="C00000"/>
          <w:lang w:val="en-US"/>
        </w:rPr>
        <w:t>ntegrating</w:t>
      </w:r>
      <w:r>
        <w:rPr>
          <w:b/>
          <w:color w:val="C00000"/>
          <w:lang w:val="en-US"/>
        </w:rPr>
        <w:t>”</w:t>
      </w:r>
      <w:r w:rsidRPr="00BF7ECB">
        <w:rPr>
          <w:b/>
          <w:color w:val="C00000"/>
          <w:lang w:val="en-US"/>
        </w:rPr>
        <w:t xml:space="preserve"> approach, considering each social capital variable separately</w:t>
      </w:r>
    </w:p>
    <w:p w:rsidR="009C2FF2" w:rsidRPr="00BF7ECB" w:rsidRDefault="009C2FF2" w:rsidP="009C2FF2">
      <w:pPr>
        <w:rPr>
          <w:color w:val="C00000"/>
          <w:lang w:val="en-GB"/>
        </w:rPr>
      </w:pPr>
      <w:r w:rsidRPr="00BF7ECB">
        <w:rPr>
          <w:color w:val="C00000"/>
          <w:lang w:val="en-US"/>
        </w:rPr>
        <w:t xml:space="preserve">Table C1. Results </w:t>
      </w:r>
      <w:r w:rsidRPr="004A427F">
        <w:rPr>
          <w:color w:val="C00000"/>
          <w:lang w:val="en-US"/>
        </w:rPr>
        <w:t xml:space="preserve">from </w:t>
      </w:r>
      <w:r w:rsidRPr="00BF7ECB">
        <w:rPr>
          <w:color w:val="C00000"/>
          <w:lang w:val="en-US"/>
        </w:rPr>
        <w:t xml:space="preserve">Equation (1) with the </w:t>
      </w:r>
      <w:r>
        <w:rPr>
          <w:color w:val="C00000"/>
          <w:lang w:val="en-US"/>
        </w:rPr>
        <w:t>“</w:t>
      </w:r>
      <w:r w:rsidRPr="00BF7ECB">
        <w:rPr>
          <w:color w:val="C00000"/>
          <w:lang w:val="en-US"/>
        </w:rPr>
        <w:t>integrating</w:t>
      </w:r>
      <w:r>
        <w:rPr>
          <w:color w:val="C00000"/>
          <w:lang w:val="en-US"/>
        </w:rPr>
        <w:t>”</w:t>
      </w:r>
      <w:r w:rsidRPr="00BF7ECB">
        <w:rPr>
          <w:color w:val="C00000"/>
          <w:lang w:val="en-US"/>
        </w:rPr>
        <w:t xml:space="preserve"> approach, considering each social capital variable separately: ordered </w:t>
      </w:r>
      <w:r w:rsidRPr="00BF7ECB">
        <w:rPr>
          <w:color w:val="C00000"/>
          <w:lang w:val="en-GB"/>
        </w:rPr>
        <w:t>probit with CFA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2182"/>
        <w:gridCol w:w="923"/>
        <w:gridCol w:w="683"/>
        <w:gridCol w:w="222"/>
        <w:gridCol w:w="991"/>
        <w:gridCol w:w="683"/>
        <w:gridCol w:w="222"/>
        <w:gridCol w:w="923"/>
        <w:gridCol w:w="683"/>
        <w:gridCol w:w="222"/>
        <w:gridCol w:w="923"/>
        <w:gridCol w:w="683"/>
        <w:gridCol w:w="222"/>
        <w:gridCol w:w="923"/>
        <w:gridCol w:w="683"/>
        <w:gridCol w:w="222"/>
        <w:gridCol w:w="923"/>
        <w:gridCol w:w="683"/>
      </w:tblGrid>
      <w:tr w:rsidR="009C2FF2" w:rsidRPr="00BF7ECB" w:rsidTr="00BB2E24">
        <w:trPr>
          <w:trHeight w:val="53"/>
          <w:jc w:val="center"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(II)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(III)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(IV)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(V)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(VI)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SE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C1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(bridging-bridging)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0.226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(0.050)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C2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(bridging-middle)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-0.042</w:t>
            </w:r>
          </w:p>
        </w:tc>
        <w:tc>
          <w:tcPr>
            <w:tcW w:w="683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(0.095)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C3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(middle-middle)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-0.326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(0.223)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C4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(bridging-bonding)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-</w:t>
            </w:r>
            <w:r w:rsidRPr="00BF7ECB">
              <w:rPr>
                <w:color w:val="C00000"/>
                <w:sz w:val="16"/>
                <w:szCs w:val="16"/>
              </w:rPr>
              <w:t>0.172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(0.066)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C5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(middle-bonding)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0.292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(0.180)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62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BF7ECB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C6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BF7ECB"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w:t xml:space="preserve">      (bonding-bonding)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2F2F2"/>
            <w:vAlign w:val="bottom"/>
          </w:tcPr>
          <w:p w:rsidR="009C2FF2" w:rsidRPr="00BF7ECB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-0.557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F2F2F2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(0.243)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Control variables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Country dummies (ref: Russia)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9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40,919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40,930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40,896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40,904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40,929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Log-likelihood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right="-116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-31006.668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-31016.572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-31026.877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-30999.885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0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6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-31018.395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6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-31021.428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ind w:right="-106"/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F3680C" w:rsidTr="00BB2E24">
        <w:trPr>
          <w:trHeight w:val="53"/>
          <w:jc w:val="center"/>
        </w:trPr>
        <w:tc>
          <w:tcPr>
            <w:tcW w:w="0" w:type="auto"/>
            <w:gridSpan w:val="18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  <w:r w:rsidRPr="00BF7ECB">
              <w:rPr>
                <w:color w:val="C00000"/>
                <w:sz w:val="16"/>
                <w:szCs w:val="16"/>
                <w:lang w:val="en-US"/>
              </w:rPr>
              <w:t>Joint significance of excluded instruments in the first-stage regressions for each potentially endogenous variable: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C1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2457.58</w:t>
            </w: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C2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686.68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C3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285.18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C4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755.95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C5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161.49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ind w:left="166"/>
              <w:jc w:val="center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  <w:color w:val="C00000"/>
                    <w:sz w:val="16"/>
                    <w:szCs w:val="16"/>
                  </w:rPr>
                  <m:t>S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C6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C00000"/>
                        <w:sz w:val="16"/>
                        <w:szCs w:val="16"/>
                      </w:rPr>
                      <m:t>ic</m:t>
                    </m:r>
                  </m:sub>
                </m:sSub>
              </m:oMath>
            </m:oMathPara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173.99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F3680C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  <w:r w:rsidRPr="00BF7ECB">
              <w:rPr>
                <w:color w:val="C00000"/>
                <w:sz w:val="16"/>
                <w:szCs w:val="16"/>
                <w:lang w:val="en-US"/>
              </w:rPr>
              <w:t>Coeff. of residuals from first stages: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-0.202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(0.054)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0.013</w:t>
            </w: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(0.097)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0.286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(0.225)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0.147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(0.068)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-0.280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(0.181)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ind w:left="62" w:firstLine="160"/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r6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0.522</w:t>
            </w:r>
            <w:r w:rsidRPr="00BF7ECB">
              <w:rPr>
                <w:color w:val="C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(0.243)</w:t>
            </w:r>
          </w:p>
        </w:tc>
      </w:tr>
      <w:tr w:rsidR="009C2FF2" w:rsidRPr="00BF7ECB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83" w:type="dxa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BF7ECB" w:rsidTr="00BB2E24">
        <w:trPr>
          <w:trHeight w:val="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  <w:r w:rsidRPr="00F3680C">
              <w:rPr>
                <w:color w:val="C00000"/>
                <w:sz w:val="16"/>
                <w:szCs w:val="16"/>
                <w:lang w:val="en-US"/>
              </w:rPr>
              <w:t>F-test for joint significance of country dummies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2166.84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2527.64</w:t>
            </w:r>
          </w:p>
        </w:tc>
        <w:tc>
          <w:tcPr>
            <w:tcW w:w="683" w:type="dxa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2579.60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2355.37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2160.16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1977.36</w:t>
            </w:r>
          </w:p>
        </w:tc>
        <w:tc>
          <w:tcPr>
            <w:tcW w:w="0" w:type="auto"/>
            <w:vAlign w:val="center"/>
          </w:tcPr>
          <w:p w:rsidR="009C2FF2" w:rsidRPr="00BF7ECB" w:rsidRDefault="009C2FF2" w:rsidP="00BB2E24">
            <w:pPr>
              <w:rPr>
                <w:color w:val="C00000"/>
                <w:sz w:val="16"/>
                <w:szCs w:val="16"/>
              </w:rPr>
            </w:pPr>
            <w:r w:rsidRPr="00BF7ECB">
              <w:rPr>
                <w:color w:val="C00000"/>
                <w:sz w:val="16"/>
                <w:szCs w:val="16"/>
              </w:rPr>
              <w:t>[0.000]</w:t>
            </w:r>
          </w:p>
        </w:tc>
      </w:tr>
    </w:tbl>
    <w:p w:rsidR="009C2FF2" w:rsidRPr="00BF7ECB" w:rsidRDefault="009C2FF2" w:rsidP="009C2FF2">
      <w:pPr>
        <w:ind w:left="142" w:right="106"/>
        <w:jc w:val="both"/>
        <w:rPr>
          <w:color w:val="C00000"/>
          <w:sz w:val="16"/>
          <w:szCs w:val="16"/>
          <w:lang w:val="en-US"/>
        </w:rPr>
      </w:pPr>
      <w:r w:rsidRPr="00BF7ECB">
        <w:rPr>
          <w:color w:val="C00000"/>
          <w:sz w:val="16"/>
          <w:szCs w:val="16"/>
          <w:lang w:val="en-US"/>
        </w:rPr>
        <w:t xml:space="preserve">The standard errors in parentheses are bootstrapped with 1000 replications. We employ </w:t>
      </w:r>
      <w:r w:rsidRPr="00BF7ECB">
        <w:rPr>
          <w:color w:val="C00000"/>
          <w:sz w:val="16"/>
          <w:szCs w:val="16"/>
          <w:vertAlign w:val="superscript"/>
          <w:lang w:val="en-US"/>
        </w:rPr>
        <w:t>*</w:t>
      </w:r>
      <w:r w:rsidRPr="00BF7ECB">
        <w:rPr>
          <w:color w:val="C00000"/>
          <w:sz w:val="16"/>
          <w:szCs w:val="16"/>
          <w:lang w:val="en-US"/>
        </w:rPr>
        <w:t xml:space="preserve">, </w:t>
      </w:r>
      <w:r w:rsidRPr="00BF7ECB">
        <w:rPr>
          <w:color w:val="C00000"/>
          <w:sz w:val="16"/>
          <w:szCs w:val="16"/>
          <w:vertAlign w:val="superscript"/>
          <w:lang w:val="en-US"/>
        </w:rPr>
        <w:t>**</w:t>
      </w:r>
      <w:r w:rsidRPr="00BF7ECB">
        <w:rPr>
          <w:color w:val="C00000"/>
          <w:sz w:val="16"/>
          <w:szCs w:val="16"/>
          <w:lang w:val="en-US"/>
        </w:rPr>
        <w:t xml:space="preserve">, and </w:t>
      </w:r>
      <w:r w:rsidRPr="00BF7ECB">
        <w:rPr>
          <w:color w:val="C00000"/>
          <w:sz w:val="16"/>
          <w:szCs w:val="16"/>
          <w:vertAlign w:val="superscript"/>
          <w:lang w:val="en-US"/>
        </w:rPr>
        <w:t>***</w:t>
      </w:r>
      <w:r w:rsidRPr="00BF7ECB">
        <w:rPr>
          <w:color w:val="C00000"/>
          <w:sz w:val="16"/>
          <w:szCs w:val="16"/>
          <w:lang w:val="en-US"/>
        </w:rPr>
        <w:t xml:space="preserve"> to denote statistical significance at the 10%, 5%, and 1% levels, respectively. P-values are presented in brackets. Each variable </w:t>
      </w:r>
      <m:oMath>
        <m:r>
          <w:rPr>
            <w:rFonts w:ascii="Cambria Math" w:eastAsia="Cambria Math" w:hAnsi="Cambria Math" w:cs="Cambria Math"/>
            <w:color w:val="C00000"/>
            <w:sz w:val="16"/>
            <w:szCs w:val="16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m:t>'</m:t>
            </m:r>
          </m:sup>
        </m:sSubSup>
      </m:oMath>
      <w:r w:rsidRPr="00BF7ECB">
        <w:rPr>
          <w:color w:val="C00000"/>
          <w:sz w:val="16"/>
          <w:szCs w:val="16"/>
          <w:lang w:val="en-US"/>
        </w:rPr>
        <w:t xml:space="preserve"> has been instrumented by their corresponding averaged levels among individuals of the same linguistic and religious origin in the community (NUTS2 level) and the number of children.</w:t>
      </w:r>
    </w:p>
    <w:p w:rsidR="009C2FF2" w:rsidRDefault="009C2FF2" w:rsidP="009C2FF2">
      <w:pPr>
        <w:spacing w:line="360" w:lineRule="auto"/>
        <w:jc w:val="both"/>
        <w:rPr>
          <w:b/>
          <w:lang w:val="en-US"/>
        </w:rPr>
      </w:pPr>
    </w:p>
    <w:p w:rsidR="009C2FF2" w:rsidRDefault="009C2FF2" w:rsidP="009C2FF2">
      <w:pPr>
        <w:spacing w:line="360" w:lineRule="auto"/>
        <w:jc w:val="both"/>
        <w:rPr>
          <w:b/>
          <w:lang w:val="en-US"/>
        </w:rPr>
      </w:pPr>
    </w:p>
    <w:p w:rsidR="009C2FF2" w:rsidRDefault="009C2FF2" w:rsidP="009C2FF2">
      <w:pPr>
        <w:spacing w:line="360" w:lineRule="auto"/>
        <w:jc w:val="both"/>
        <w:rPr>
          <w:b/>
          <w:lang w:val="en-US"/>
        </w:rPr>
      </w:pPr>
    </w:p>
    <w:p w:rsidR="009C2FF2" w:rsidRPr="00946FCD" w:rsidRDefault="009C2FF2" w:rsidP="009C2FF2">
      <w:pPr>
        <w:rPr>
          <w:color w:val="C00000"/>
          <w:lang w:val="en-US"/>
        </w:rPr>
      </w:pPr>
      <w:r w:rsidRPr="00946FCD">
        <w:rPr>
          <w:color w:val="C00000"/>
          <w:lang w:val="en-US"/>
        </w:rPr>
        <w:t xml:space="preserve">Table C2. Results from Equation (1) with the </w:t>
      </w:r>
      <w:r>
        <w:rPr>
          <w:color w:val="C00000"/>
          <w:lang w:val="en-US"/>
        </w:rPr>
        <w:t>“</w:t>
      </w:r>
      <w:r w:rsidRPr="00946FCD">
        <w:rPr>
          <w:color w:val="C00000"/>
          <w:lang w:val="en-US"/>
        </w:rPr>
        <w:t>integrating</w:t>
      </w:r>
      <w:r>
        <w:rPr>
          <w:color w:val="C00000"/>
          <w:lang w:val="en-US"/>
        </w:rPr>
        <w:t>”</w:t>
      </w:r>
      <w:r w:rsidRPr="00946FCD">
        <w:rPr>
          <w:color w:val="C00000"/>
          <w:lang w:val="en-US"/>
        </w:rPr>
        <w:t xml:space="preserve"> approach, considering each social capital variable separately: 2SLS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3249"/>
        <w:gridCol w:w="816"/>
        <w:gridCol w:w="683"/>
        <w:gridCol w:w="222"/>
        <w:gridCol w:w="736"/>
        <w:gridCol w:w="683"/>
        <w:gridCol w:w="222"/>
        <w:gridCol w:w="736"/>
        <w:gridCol w:w="683"/>
        <w:gridCol w:w="222"/>
        <w:gridCol w:w="736"/>
        <w:gridCol w:w="683"/>
        <w:gridCol w:w="222"/>
        <w:gridCol w:w="736"/>
        <w:gridCol w:w="683"/>
        <w:gridCol w:w="222"/>
        <w:gridCol w:w="779"/>
        <w:gridCol w:w="683"/>
      </w:tblGrid>
      <w:tr w:rsidR="009C2FF2" w:rsidRPr="00946FCD" w:rsidTr="00BB2E24">
        <w:trPr>
          <w:trHeight w:val="53"/>
          <w:jc w:val="center"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(II)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(III)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(IV)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(V)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(VI)</w:t>
            </w: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Coeff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SE</w:t>
            </w: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1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(bridging-bridging)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0.110</w:t>
            </w:r>
            <w:r w:rsidRPr="00946FCD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(0.026)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2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(bridging-middle)</w:t>
            </w: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jc w:val="center"/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0.044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(0.066)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3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(middle-middle)</w:t>
            </w: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  <w:vAlign w:val="bottom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0.175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(0.123)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4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(bridging-bonding)</w:t>
            </w: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  <w:vAlign w:val="bottom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ind w:right="-253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-</w:t>
            </w:r>
            <w:r w:rsidRPr="00946FCD">
              <w:rPr>
                <w:color w:val="C00000"/>
                <w:sz w:val="16"/>
                <w:szCs w:val="16"/>
              </w:rPr>
              <w:t>0.</w:t>
            </w:r>
            <w:r>
              <w:rPr>
                <w:color w:val="C00000"/>
                <w:sz w:val="16"/>
                <w:szCs w:val="16"/>
              </w:rPr>
              <w:t>1</w:t>
            </w:r>
            <w:r w:rsidRPr="00946FCD">
              <w:rPr>
                <w:color w:val="C00000"/>
                <w:sz w:val="16"/>
                <w:szCs w:val="16"/>
              </w:rPr>
              <w:t>0</w:t>
            </w:r>
            <w:r>
              <w:rPr>
                <w:color w:val="C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(0.</w:t>
            </w:r>
            <w:r>
              <w:rPr>
                <w:color w:val="C00000"/>
                <w:sz w:val="16"/>
                <w:szCs w:val="16"/>
              </w:rPr>
              <w:t>139</w:t>
            </w:r>
            <w:r w:rsidRPr="00946FCD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5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(middle-bonding)</w:t>
            </w: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  <w:vAlign w:val="bottom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</w:t>
            </w:r>
            <w:r>
              <w:rPr>
                <w:color w:val="C00000"/>
                <w:sz w:val="16"/>
                <w:szCs w:val="16"/>
              </w:rPr>
              <w:t>144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(0.</w:t>
            </w:r>
            <w:r>
              <w:rPr>
                <w:color w:val="C00000"/>
                <w:sz w:val="16"/>
                <w:szCs w:val="16"/>
              </w:rPr>
              <w:t>1</w:t>
            </w:r>
            <w:r w:rsidRPr="00946FCD">
              <w:rPr>
                <w:color w:val="C00000"/>
                <w:sz w:val="16"/>
                <w:szCs w:val="16"/>
              </w:rPr>
              <w:t>0</w:t>
            </w:r>
            <w:r>
              <w:rPr>
                <w:color w:val="C00000"/>
                <w:sz w:val="16"/>
                <w:szCs w:val="16"/>
              </w:rPr>
              <w:t>2</w:t>
            </w:r>
            <w:r w:rsidRPr="00946FCD"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62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9C2FF2" w:rsidRPr="00F3680C" w:rsidRDefault="009C2FF2" w:rsidP="00BB2E24">
            <w:pP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m:oMath>
              <m:r>
                <w:rPr>
                  <w:rFonts w:ascii="Cambria Math" w:eastAsia="Cambria Math" w:hAnsi="Cambria Math" w:cs="Cambria Math"/>
                  <w:color w:val="C00000"/>
                  <w:sz w:val="16"/>
                  <w:szCs w:val="16"/>
                </w:rPr>
                <m:t>S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  <w:lang w:val="en-US"/>
                    </w:rPr>
                    <m:t>6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C00000"/>
                      <w:sz w:val="16"/>
                      <w:szCs w:val="16"/>
                    </w:rPr>
                    <m:t>ic</m:t>
                  </m:r>
                </m:sub>
              </m:sSub>
            </m:oMath>
            <w:r w:rsidRPr="00F3680C"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w:t xml:space="preserve">      (bonding-bonding)</w:t>
            </w: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  <w:vAlign w:val="bottom"/>
          </w:tcPr>
          <w:p w:rsidR="009C2FF2" w:rsidRPr="00F3680C" w:rsidRDefault="009C2FF2" w:rsidP="00BB2E24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F3680C" w:rsidRDefault="009C2FF2" w:rsidP="00BB2E24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ind w:right="-265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-0.427</w:t>
            </w:r>
            <w:r w:rsidRPr="000922CB">
              <w:rPr>
                <w:color w:val="C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F2F2F2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(0.146)</w:t>
            </w: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Control variables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Country dummies (ref: Russia)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YES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9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40,890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40,919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40,930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40</w:t>
            </w:r>
            <w:r>
              <w:rPr>
                <w:color w:val="C00000"/>
                <w:sz w:val="16"/>
                <w:szCs w:val="16"/>
              </w:rPr>
              <w:t>,</w:t>
            </w:r>
            <w:r w:rsidRPr="00946FCD">
              <w:rPr>
                <w:color w:val="C00000"/>
                <w:sz w:val="16"/>
                <w:szCs w:val="16"/>
              </w:rPr>
              <w:t>896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2D5089">
              <w:rPr>
                <w:color w:val="C00000"/>
                <w:sz w:val="16"/>
                <w:szCs w:val="16"/>
              </w:rPr>
              <w:t>40</w:t>
            </w:r>
            <w:r>
              <w:rPr>
                <w:color w:val="C00000"/>
                <w:sz w:val="16"/>
                <w:szCs w:val="16"/>
              </w:rPr>
              <w:t>,</w:t>
            </w:r>
            <w:r w:rsidRPr="002D5089">
              <w:rPr>
                <w:color w:val="C00000"/>
                <w:sz w:val="16"/>
                <w:szCs w:val="16"/>
              </w:rPr>
              <w:t>904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0922CB">
              <w:rPr>
                <w:color w:val="C00000"/>
                <w:sz w:val="16"/>
                <w:szCs w:val="16"/>
              </w:rPr>
              <w:t>40</w:t>
            </w:r>
            <w:r>
              <w:rPr>
                <w:color w:val="C00000"/>
                <w:sz w:val="16"/>
                <w:szCs w:val="16"/>
              </w:rPr>
              <w:t>,</w:t>
            </w:r>
            <w:r w:rsidRPr="000922CB">
              <w:rPr>
                <w:color w:val="C00000"/>
                <w:sz w:val="16"/>
                <w:szCs w:val="16"/>
              </w:rPr>
              <w:t>929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F3680C" w:rsidRDefault="009C2FF2" w:rsidP="00BB2E24">
            <w:pPr>
              <w:ind w:left="24"/>
              <w:jc w:val="both"/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</w:pPr>
            <w:r w:rsidRPr="00946FCD">
              <w:rPr>
                <w:color w:val="C00000"/>
                <w:sz w:val="16"/>
                <w:szCs w:val="16"/>
                <w:lang w:val="en-US"/>
              </w:rPr>
              <w:t>Kleibergen-Paap rk LM statistic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2017.801</w:t>
            </w:r>
          </w:p>
        </w:tc>
        <w:tc>
          <w:tcPr>
            <w:tcW w:w="0" w:type="auto"/>
            <w:shd w:val="clear" w:color="auto" w:fill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390.783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155.127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859.951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A456DE">
              <w:rPr>
                <w:color w:val="C00000"/>
                <w:sz w:val="16"/>
                <w:szCs w:val="16"/>
              </w:rPr>
              <w:t>147.995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0922CB">
              <w:rPr>
                <w:color w:val="C00000"/>
                <w:sz w:val="16"/>
                <w:szCs w:val="16"/>
              </w:rPr>
              <w:t>171.258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ind w:left="24"/>
              <w:jc w:val="both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  <w:lang w:val="en-US"/>
              </w:rPr>
              <w:t>Kleibergen-Paap rk Wald F statistic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1533.230</w:t>
            </w:r>
          </w:p>
        </w:tc>
        <w:tc>
          <w:tcPr>
            <w:tcW w:w="0" w:type="auto"/>
            <w:shd w:val="clear" w:color="auto" w:fill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250.562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90.406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522.323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A456DE">
              <w:rPr>
                <w:color w:val="C00000"/>
                <w:sz w:val="16"/>
                <w:szCs w:val="16"/>
              </w:rPr>
              <w:t>81.660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0922CB">
              <w:rPr>
                <w:color w:val="C00000"/>
                <w:sz w:val="16"/>
                <w:szCs w:val="16"/>
              </w:rPr>
              <w:t>95.391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ind w:left="24"/>
              <w:jc w:val="both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 xml:space="preserve">Hansen J statistic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0.363</w:t>
            </w:r>
          </w:p>
        </w:tc>
        <w:tc>
          <w:tcPr>
            <w:tcW w:w="0" w:type="auto"/>
            <w:shd w:val="clear" w:color="auto" w:fill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[0.547]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0.292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[0.589]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0.246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[0.600]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0.147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</w:t>
            </w:r>
            <w:r w:rsidRPr="00946FCD">
              <w:rPr>
                <w:color w:val="C00000"/>
                <w:sz w:val="16"/>
                <w:szCs w:val="16"/>
              </w:rPr>
              <w:t>0.70</w:t>
            </w:r>
            <w:r>
              <w:rPr>
                <w:color w:val="C00000"/>
                <w:sz w:val="16"/>
                <w:szCs w:val="16"/>
              </w:rPr>
              <w:t>2]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A456DE">
              <w:rPr>
                <w:color w:val="C00000"/>
                <w:sz w:val="16"/>
                <w:szCs w:val="16"/>
              </w:rPr>
              <w:t>0.521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</w:t>
            </w:r>
            <w:r w:rsidRPr="00A456DE">
              <w:rPr>
                <w:color w:val="C00000"/>
                <w:sz w:val="16"/>
                <w:szCs w:val="16"/>
              </w:rPr>
              <w:t>0.470</w:t>
            </w:r>
            <w:r>
              <w:rPr>
                <w:color w:val="C00000"/>
                <w:sz w:val="16"/>
                <w:szCs w:val="16"/>
              </w:rPr>
              <w:t>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0922CB">
              <w:rPr>
                <w:color w:val="C00000"/>
                <w:sz w:val="16"/>
                <w:szCs w:val="16"/>
              </w:rPr>
              <w:t>0.089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</w:t>
            </w:r>
            <w:r w:rsidRPr="000922CB">
              <w:rPr>
                <w:color w:val="C00000"/>
                <w:sz w:val="16"/>
                <w:szCs w:val="16"/>
              </w:rPr>
              <w:t>0.76</w:t>
            </w:r>
            <w:r>
              <w:rPr>
                <w:color w:val="C00000"/>
                <w:sz w:val="16"/>
                <w:szCs w:val="16"/>
              </w:rPr>
              <w:t>5]</w:t>
            </w: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ind w:left="24"/>
              <w:jc w:val="both"/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Durbin-Wu-Hausman test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2457.58</w:t>
            </w:r>
          </w:p>
        </w:tc>
        <w:tc>
          <w:tcPr>
            <w:tcW w:w="0" w:type="auto"/>
            <w:shd w:val="clear" w:color="auto" w:fill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686.68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285.18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755.95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161.49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CD2613">
              <w:rPr>
                <w:color w:val="C00000"/>
                <w:sz w:val="16"/>
                <w:szCs w:val="16"/>
              </w:rPr>
              <w:t>173.99</w:t>
            </w: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</w:tr>
      <w:tr w:rsidR="009C2FF2" w:rsidRPr="00946FCD" w:rsidTr="00BB2E24">
        <w:trPr>
          <w:trHeight w:val="5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ind w:left="166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</w:tr>
      <w:tr w:rsidR="009C2FF2" w:rsidRPr="00946FCD" w:rsidTr="00BB2E24">
        <w:trPr>
          <w:trHeight w:val="9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F-test for joint significance of country dummies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1911.49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2047.10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2008.62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946FCD">
              <w:rPr>
                <w:color w:val="C00000"/>
                <w:sz w:val="16"/>
                <w:szCs w:val="16"/>
              </w:rPr>
              <w:t>2030.19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2D5089">
              <w:rPr>
                <w:color w:val="C00000"/>
                <w:sz w:val="16"/>
                <w:szCs w:val="16"/>
              </w:rPr>
              <w:t>2020.36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 w:rsidRPr="000922CB">
              <w:rPr>
                <w:color w:val="C00000"/>
                <w:sz w:val="16"/>
                <w:szCs w:val="16"/>
              </w:rPr>
              <w:t>1864.07</w:t>
            </w:r>
          </w:p>
        </w:tc>
        <w:tc>
          <w:tcPr>
            <w:tcW w:w="0" w:type="auto"/>
            <w:vAlign w:val="center"/>
          </w:tcPr>
          <w:p w:rsidR="009C2FF2" w:rsidRPr="00946FCD" w:rsidRDefault="009C2FF2" w:rsidP="00BB2E2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[0.000]</w:t>
            </w:r>
          </w:p>
        </w:tc>
      </w:tr>
    </w:tbl>
    <w:p w:rsidR="009C2FF2" w:rsidRPr="00946FCD" w:rsidRDefault="009C2FF2" w:rsidP="009C2FF2">
      <w:pPr>
        <w:jc w:val="both"/>
        <w:rPr>
          <w:color w:val="C00000"/>
          <w:sz w:val="16"/>
          <w:szCs w:val="16"/>
          <w:lang w:val="en-US"/>
        </w:rPr>
      </w:pPr>
      <w:r w:rsidRPr="00946FCD">
        <w:rPr>
          <w:color w:val="C00000"/>
          <w:sz w:val="16"/>
          <w:szCs w:val="16"/>
          <w:lang w:val="en-US"/>
        </w:rPr>
        <w:t xml:space="preserve">The standard errors in parentheses are heteroskedasticity-consistent. We employ </w:t>
      </w:r>
      <w:r w:rsidRPr="00946FCD">
        <w:rPr>
          <w:color w:val="C00000"/>
          <w:sz w:val="16"/>
          <w:szCs w:val="16"/>
          <w:vertAlign w:val="superscript"/>
          <w:lang w:val="en-US"/>
        </w:rPr>
        <w:t>*</w:t>
      </w:r>
      <w:r w:rsidRPr="00946FCD">
        <w:rPr>
          <w:color w:val="C00000"/>
          <w:sz w:val="16"/>
          <w:szCs w:val="16"/>
          <w:lang w:val="en-US"/>
        </w:rPr>
        <w:t xml:space="preserve">, </w:t>
      </w:r>
      <w:r w:rsidRPr="00946FCD">
        <w:rPr>
          <w:color w:val="C00000"/>
          <w:sz w:val="16"/>
          <w:szCs w:val="16"/>
          <w:vertAlign w:val="superscript"/>
          <w:lang w:val="en-US"/>
        </w:rPr>
        <w:t>**</w:t>
      </w:r>
      <w:r w:rsidRPr="00946FCD">
        <w:rPr>
          <w:color w:val="C00000"/>
          <w:sz w:val="16"/>
          <w:szCs w:val="16"/>
          <w:lang w:val="en-US"/>
        </w:rPr>
        <w:t xml:space="preserve">, and </w:t>
      </w:r>
      <w:r w:rsidRPr="00946FCD">
        <w:rPr>
          <w:color w:val="C00000"/>
          <w:sz w:val="16"/>
          <w:szCs w:val="16"/>
          <w:vertAlign w:val="superscript"/>
          <w:lang w:val="en-US"/>
        </w:rPr>
        <w:t>***</w:t>
      </w:r>
      <w:r w:rsidRPr="00946FCD">
        <w:rPr>
          <w:color w:val="C00000"/>
          <w:sz w:val="16"/>
          <w:szCs w:val="16"/>
          <w:lang w:val="en-US"/>
        </w:rPr>
        <w:t xml:space="preserve"> to denote statistical significance at the 10%, 5%, and 1% levels, respectively. P-values are presented in brackets. Each variable </w:t>
      </w:r>
      <m:oMath>
        <m:r>
          <w:rPr>
            <w:rFonts w:ascii="Cambria Math" w:eastAsia="Cambria Math" w:hAnsi="Cambria Math" w:cs="Cambria Math"/>
            <w:color w:val="C00000"/>
            <w:sz w:val="16"/>
            <w:szCs w:val="16"/>
          </w:rPr>
          <m:t>S</m:t>
        </m:r>
        <m:sSubSup>
          <m:sSubSupPr>
            <m:ctrlP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</w:rPr>
              <m:t>ic</m:t>
            </m:r>
          </m:sub>
          <m:sup>
            <m:r>
              <w:rPr>
                <w:rFonts w:ascii="Cambria Math" w:eastAsia="Cambria Math" w:hAnsi="Cambria Math" w:cs="Cambria Math"/>
                <w:color w:val="C00000"/>
                <w:sz w:val="16"/>
                <w:szCs w:val="16"/>
                <w:lang w:val="en-US"/>
              </w:rPr>
              <m:t>'</m:t>
            </m:r>
          </m:sup>
        </m:sSubSup>
      </m:oMath>
      <w:r w:rsidRPr="00946FCD">
        <w:rPr>
          <w:color w:val="C00000"/>
          <w:sz w:val="16"/>
          <w:szCs w:val="16"/>
          <w:lang w:val="en-US"/>
        </w:rPr>
        <w:t xml:space="preserve"> has been instrumented by their corresponding averaged levels among individuals of the same linguistic and religious origin in the community (NUTS2 level) and the number of children.</w:t>
      </w:r>
    </w:p>
    <w:p w:rsidR="009C2FF2" w:rsidRPr="00946FCD" w:rsidRDefault="009C2FF2" w:rsidP="009C2FF2">
      <w:pPr>
        <w:spacing w:line="360" w:lineRule="auto"/>
        <w:jc w:val="both"/>
        <w:rPr>
          <w:b/>
          <w:color w:val="C00000"/>
          <w:lang w:val="en-US"/>
        </w:rPr>
      </w:pPr>
    </w:p>
    <w:p w:rsidR="009C2FF2" w:rsidRPr="005B4F2D" w:rsidRDefault="009C2FF2" w:rsidP="009C2FF2">
      <w:pPr>
        <w:jc w:val="both"/>
        <w:rPr>
          <w:sz w:val="20"/>
          <w:szCs w:val="20"/>
          <w:lang w:val="en-US"/>
        </w:rPr>
      </w:pPr>
    </w:p>
    <w:p w:rsidR="00C206F1" w:rsidRDefault="00C206F1"/>
    <w:sectPr w:rsidR="00C206F1" w:rsidSect="00AA3E0E">
      <w:pgSz w:w="15840" w:h="12240" w:orient="landscape"/>
      <w:pgMar w:top="1701" w:right="1417" w:bottom="1701" w:left="141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DF8"/>
    <w:multiLevelType w:val="hybridMultilevel"/>
    <w:tmpl w:val="E71004E4"/>
    <w:lvl w:ilvl="0" w:tplc="2102CAC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EAEA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2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4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86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4A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8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AF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F43651"/>
    <w:multiLevelType w:val="hybridMultilevel"/>
    <w:tmpl w:val="B614CF18"/>
    <w:lvl w:ilvl="0" w:tplc="17F21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00EB"/>
    <w:multiLevelType w:val="hybridMultilevel"/>
    <w:tmpl w:val="18888D62"/>
    <w:lvl w:ilvl="0" w:tplc="287C7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6571"/>
    <w:multiLevelType w:val="hybridMultilevel"/>
    <w:tmpl w:val="B7502758"/>
    <w:lvl w:ilvl="0" w:tplc="CFBAD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2C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0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A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7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01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23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EB7EE5"/>
    <w:multiLevelType w:val="hybridMultilevel"/>
    <w:tmpl w:val="151C3F6C"/>
    <w:lvl w:ilvl="0" w:tplc="C34E2A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6ED"/>
    <w:multiLevelType w:val="multilevel"/>
    <w:tmpl w:val="A5DEE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317E7E"/>
    <w:multiLevelType w:val="multilevel"/>
    <w:tmpl w:val="D3E22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520C1A"/>
    <w:multiLevelType w:val="multilevel"/>
    <w:tmpl w:val="E1C49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211193"/>
    <w:multiLevelType w:val="multilevel"/>
    <w:tmpl w:val="B3C8B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4265">
    <w:abstractNumId w:val="7"/>
  </w:num>
  <w:num w:numId="2" w16cid:durableId="815419598">
    <w:abstractNumId w:val="8"/>
  </w:num>
  <w:num w:numId="3" w16cid:durableId="219295187">
    <w:abstractNumId w:val="5"/>
  </w:num>
  <w:num w:numId="4" w16cid:durableId="153449864">
    <w:abstractNumId w:val="6"/>
  </w:num>
  <w:num w:numId="5" w16cid:durableId="1478958007">
    <w:abstractNumId w:val="3"/>
  </w:num>
  <w:num w:numId="6" w16cid:durableId="1759058890">
    <w:abstractNumId w:val="4"/>
  </w:num>
  <w:num w:numId="7" w16cid:durableId="1069956785">
    <w:abstractNumId w:val="0"/>
  </w:num>
  <w:num w:numId="8" w16cid:durableId="928930617">
    <w:abstractNumId w:val="2"/>
  </w:num>
  <w:num w:numId="9" w16cid:durableId="136787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F2"/>
    <w:rsid w:val="009C2FF2"/>
    <w:rsid w:val="00A5795D"/>
    <w:rsid w:val="00C206F1"/>
    <w:rsid w:val="00D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7BD41-9321-410D-A0AC-AC9EA4D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tulo1">
    <w:name w:val="heading 1"/>
    <w:basedOn w:val="Normal"/>
    <w:link w:val="Ttulo1Car"/>
    <w:uiPriority w:val="9"/>
    <w:qFormat/>
    <w:rsid w:val="009C2F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FF2"/>
    <w:pPr>
      <w:keepNext/>
      <w:keepLines/>
      <w:spacing w:before="360" w:after="80"/>
      <w:outlineLvl w:val="1"/>
    </w:pPr>
    <w:rPr>
      <w:b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FF2"/>
    <w:pPr>
      <w:keepNext/>
      <w:keepLines/>
      <w:spacing w:before="280" w:after="80"/>
      <w:outlineLvl w:val="2"/>
    </w:pPr>
    <w:rPr>
      <w:b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FF2"/>
    <w:pPr>
      <w:keepNext/>
      <w:keepLines/>
      <w:spacing w:before="240" w:after="40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FF2"/>
    <w:pPr>
      <w:keepNext/>
      <w:keepLines/>
      <w:spacing w:before="220" w:after="40"/>
      <w:outlineLvl w:val="4"/>
    </w:pPr>
    <w:rPr>
      <w:b/>
      <w:sz w:val="22"/>
      <w:szCs w:val="22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FF2"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FF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FF2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FF2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FF2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FF2"/>
    <w:rPr>
      <w:rFonts w:ascii="Times New Roman" w:eastAsia="Times New Roman" w:hAnsi="Times New Roman" w:cs="Times New Roman"/>
      <w:b/>
      <w:lang w:eastAsia="it-I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FF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customStyle="1" w:styleId="NormalTable0">
    <w:name w:val="Normal Table0"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C2FF2"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C2FF2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table" w:customStyle="1" w:styleId="NormalTable00">
    <w:name w:val="Normal Table00"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2FF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2FF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2FF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2FF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C2FF2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C2F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2FF2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9C2FF2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9C2FF2"/>
  </w:style>
  <w:style w:type="character" w:styleId="Hipervnculo">
    <w:name w:val="Hyperlink"/>
    <w:basedOn w:val="Fuentedeprrafopredeter"/>
    <w:uiPriority w:val="99"/>
    <w:unhideWhenUsed/>
    <w:rsid w:val="009C2F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2F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C2F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2FF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2F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F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FF2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9C2FF2"/>
    <w:rPr>
      <w:color w:val="808080"/>
    </w:rPr>
  </w:style>
  <w:style w:type="table" w:styleId="Tablaconcuadrcula">
    <w:name w:val="Table Grid"/>
    <w:basedOn w:val="Tablanormal"/>
    <w:uiPriority w:val="39"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lanormal"/>
    <w:uiPriority w:val="41"/>
    <w:rsid w:val="009C2FF2"/>
    <w:pPr>
      <w:spacing w:after="0" w:line="240" w:lineRule="auto"/>
    </w:pPr>
    <w:rPr>
      <w:rFonts w:ascii="Times New Roman" w:eastAsia="Times New Roman" w:hAnsi="Times New Roman" w:cs="Times New Roman"/>
      <w:lang w:val="it-IT"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2FF2"/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F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jlqj4b">
    <w:name w:val="jlqj4b"/>
    <w:basedOn w:val="Fuentedeprrafopredeter"/>
    <w:rsid w:val="009C2FF2"/>
  </w:style>
  <w:style w:type="character" w:customStyle="1" w:styleId="title-text">
    <w:name w:val="title-text"/>
    <w:basedOn w:val="Fuentedeprrafopredeter"/>
    <w:rsid w:val="009C2FF2"/>
  </w:style>
  <w:style w:type="paragraph" w:styleId="Subttulo">
    <w:name w:val="Subtitle"/>
    <w:basedOn w:val="Normal"/>
    <w:next w:val="Normal"/>
    <w:link w:val="SubttuloCar"/>
    <w:uiPriority w:val="11"/>
    <w:qFormat/>
    <w:rsid w:val="009C2F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9C2FF2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2F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FF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9C2FF2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2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2FF2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9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2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2FF2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y2iqfc">
    <w:name w:val="y2iqfc"/>
    <w:basedOn w:val="Fuentedeprrafopredeter"/>
    <w:rsid w:val="009C2FF2"/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9C2FF2"/>
    <w:rPr>
      <w:color w:val="605E5C"/>
      <w:shd w:val="clear" w:color="auto" w:fill="E1DFDD"/>
    </w:rPr>
  </w:style>
  <w:style w:type="character" w:customStyle="1" w:styleId="shareable-quote">
    <w:name w:val="shareable-quote"/>
    <w:basedOn w:val="Fuentedeprrafopredeter"/>
    <w:rsid w:val="009C2FF2"/>
  </w:style>
  <w:style w:type="character" w:customStyle="1" w:styleId="anchor-text">
    <w:name w:val="anchor-text"/>
    <w:basedOn w:val="Fuentedeprrafopredeter"/>
    <w:rsid w:val="009C2FF2"/>
  </w:style>
  <w:style w:type="table" w:customStyle="1" w:styleId="Tablanormal11">
    <w:name w:val="Tabla normal 11"/>
    <w:basedOn w:val="Tablanormal"/>
    <w:uiPriority w:val="41"/>
    <w:rsid w:val="009C2FF2"/>
    <w:pPr>
      <w:spacing w:after="0" w:line="240" w:lineRule="auto"/>
    </w:pPr>
    <w:rPr>
      <w:rFonts w:ascii="Times New Roman" w:eastAsia="Times New Roman" w:hAnsi="Times New Roman" w:cs="Times New Roman"/>
      <w:lang w:val="it-IT"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C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jordiripolles\Dropbox\UJI\Alessandro%20Cascavilla%20UJI\MANUSCRIPT\RESULTS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73878060324431"/>
          <c:y val="2.6810659322786073E-2"/>
          <c:w val="0.77781033518351195"/>
          <c:h val="0.938587976063698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'Corr internal vs extern'!$C$28:$AI$28</c:f>
              <c:strCache>
                <c:ptCount val="33"/>
                <c:pt idx="0">
                  <c:v>Albania</c:v>
                </c:pt>
                <c:pt idx="1">
                  <c:v>Armenia</c:v>
                </c:pt>
                <c:pt idx="2">
                  <c:v>Austria</c:v>
                </c:pt>
                <c:pt idx="3">
                  <c:v>Azerbaijan</c:v>
                </c:pt>
                <c:pt idx="4">
                  <c:v>Belarus</c:v>
                </c:pt>
                <c:pt idx="5">
                  <c:v>Bosnia and Herzegovina</c:v>
                </c:pt>
                <c:pt idx="6">
                  <c:v>Bulgaria</c:v>
                </c:pt>
                <c:pt idx="7">
                  <c:v>Croatia</c:v>
                </c:pt>
                <c:pt idx="8">
                  <c:v>Czechia</c:v>
                </c:pt>
                <c:pt idx="9">
                  <c:v>Denmark</c:v>
                </c:pt>
                <c:pt idx="10">
                  <c:v>Estonia</c:v>
                </c:pt>
                <c:pt idx="11">
                  <c:v>Finland</c:v>
                </c:pt>
                <c:pt idx="12">
                  <c:v>France</c:v>
                </c:pt>
                <c:pt idx="13">
                  <c:v>Georgia</c:v>
                </c:pt>
                <c:pt idx="14">
                  <c:v>Germany</c:v>
                </c:pt>
                <c:pt idx="15">
                  <c:v>Great Britain</c:v>
                </c:pt>
                <c:pt idx="16">
                  <c:v>Hungary</c:v>
                </c:pt>
                <c:pt idx="17">
                  <c:v>Iceland</c:v>
                </c:pt>
                <c:pt idx="18">
                  <c:v>Italy</c:v>
                </c:pt>
                <c:pt idx="19">
                  <c:v>Lithuania</c:v>
                </c:pt>
                <c:pt idx="20">
                  <c:v>Montenegro</c:v>
                </c:pt>
                <c:pt idx="21">
                  <c:v>Netherlands</c:v>
                </c:pt>
                <c:pt idx="22">
                  <c:v>North Macedonia</c:v>
                </c:pt>
                <c:pt idx="23">
                  <c:v>Norway</c:v>
                </c:pt>
                <c:pt idx="24">
                  <c:v>Poland</c:v>
                </c:pt>
                <c:pt idx="25">
                  <c:v>Romania</c:v>
                </c:pt>
                <c:pt idx="26">
                  <c:v>Russia</c:v>
                </c:pt>
                <c:pt idx="27">
                  <c:v>Serbia</c:v>
                </c:pt>
                <c:pt idx="28">
                  <c:v>Slovakia</c:v>
                </c:pt>
                <c:pt idx="29">
                  <c:v>Slovenia</c:v>
                </c:pt>
                <c:pt idx="30">
                  <c:v>Spain</c:v>
                </c:pt>
                <c:pt idx="31">
                  <c:v>Sweden</c:v>
                </c:pt>
                <c:pt idx="32">
                  <c:v>Switzerland</c:v>
                </c:pt>
              </c:strCache>
            </c:strRef>
          </c:cat>
          <c:val>
            <c:numRef>
              <c:f>'Corr internal vs extern'!$C$29:$AI$29</c:f>
              <c:numCache>
                <c:formatCode>General</c:formatCode>
                <c:ptCount val="33"/>
                <c:pt idx="0">
                  <c:v>-8.3779855125103692E-2</c:v>
                </c:pt>
                <c:pt idx="1">
                  <c:v>-0.15454545454545451</c:v>
                </c:pt>
                <c:pt idx="2">
                  <c:v>0.19999999999999996</c:v>
                </c:pt>
                <c:pt idx="3">
                  <c:v>-0.32910023097122931</c:v>
                </c:pt>
                <c:pt idx="4">
                  <c:v>-0.36154584298334569</c:v>
                </c:pt>
                <c:pt idx="5">
                  <c:v>5.4545454545454529E-2</c:v>
                </c:pt>
                <c:pt idx="6">
                  <c:v>-4.5454545454545442E-2</c:v>
                </c:pt>
                <c:pt idx="7">
                  <c:v>-5.4545454545454529E-2</c:v>
                </c:pt>
                <c:pt idx="8">
                  <c:v>-0.13636363636363633</c:v>
                </c:pt>
                <c:pt idx="9">
                  <c:v>0.33636363636363631</c:v>
                </c:pt>
                <c:pt idx="10">
                  <c:v>0.39090909090909087</c:v>
                </c:pt>
                <c:pt idx="11">
                  <c:v>-4.5454545454545442E-2</c:v>
                </c:pt>
                <c:pt idx="12">
                  <c:v>0.1727272727272727</c:v>
                </c:pt>
                <c:pt idx="13">
                  <c:v>0.31818181818181812</c:v>
                </c:pt>
                <c:pt idx="14">
                  <c:v>-0.26363636363636356</c:v>
                </c:pt>
                <c:pt idx="15">
                  <c:v>0.31818181818181812</c:v>
                </c:pt>
                <c:pt idx="16">
                  <c:v>0.21410407420859823</c:v>
                </c:pt>
                <c:pt idx="17">
                  <c:v>0.12727272727272726</c:v>
                </c:pt>
                <c:pt idx="18">
                  <c:v>-0.14545454545454542</c:v>
                </c:pt>
                <c:pt idx="19">
                  <c:v>-0.74545454545454526</c:v>
                </c:pt>
                <c:pt idx="20">
                  <c:v>-2.7272727272727264E-2</c:v>
                </c:pt>
                <c:pt idx="21">
                  <c:v>2.7272727272727264E-2</c:v>
                </c:pt>
                <c:pt idx="22">
                  <c:v>-0.48181818181818176</c:v>
                </c:pt>
                <c:pt idx="23">
                  <c:v>9.0909090909090884E-2</c:v>
                </c:pt>
                <c:pt idx="24">
                  <c:v>0.29999999999999993</c:v>
                </c:pt>
                <c:pt idx="25">
                  <c:v>-0.31818181818181812</c:v>
                </c:pt>
                <c:pt idx="26">
                  <c:v>0.31818181818181812</c:v>
                </c:pt>
                <c:pt idx="27">
                  <c:v>-0.19090909090909089</c:v>
                </c:pt>
                <c:pt idx="28">
                  <c:v>-0.10909090909090906</c:v>
                </c:pt>
                <c:pt idx="29">
                  <c:v>8.1818181818181804E-2</c:v>
                </c:pt>
                <c:pt idx="30">
                  <c:v>-3.6363636363636355E-2</c:v>
                </c:pt>
                <c:pt idx="31">
                  <c:v>0.23636363636363633</c:v>
                </c:pt>
                <c:pt idx="32">
                  <c:v>-9.0909090909090887E-3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6-3D41-BB15-751042A33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2476416"/>
        <c:axId val="142477952"/>
      </c:barChart>
      <c:catAx>
        <c:axId val="1424764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42477952"/>
        <c:crosses val="autoZero"/>
        <c:auto val="1"/>
        <c:lblAlgn val="ctr"/>
        <c:lblOffset val="100"/>
        <c:noMultiLvlLbl val="0"/>
      </c:catAx>
      <c:valAx>
        <c:axId val="142477952"/>
        <c:scaling>
          <c:orientation val="minMax"/>
          <c:max val="1"/>
          <c:min val="-1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42476416"/>
        <c:crosses val="autoZero"/>
        <c:crossBetween val="between"/>
        <c:majorUnit val="0.5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3333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A3502</dc:creator>
  <cp:lastModifiedBy>usuario</cp:lastModifiedBy>
  <cp:revision>2</cp:revision>
  <dcterms:created xsi:type="dcterms:W3CDTF">2023-07-21T07:43:00Z</dcterms:created>
  <dcterms:modified xsi:type="dcterms:W3CDTF">2023-07-21T07:43:00Z</dcterms:modified>
</cp:coreProperties>
</file>