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B2E1" w14:textId="77777777" w:rsidR="00930533" w:rsidRPr="001D1DA8" w:rsidRDefault="00F12C3E">
      <w:pPr>
        <w:rPr>
          <w:color w:val="auto"/>
        </w:rPr>
      </w:pPr>
      <w:bookmarkStart w:id="0" w:name="_GoBack"/>
      <w:bookmarkEnd w:id="0"/>
      <w:r w:rsidRPr="001D1DA8">
        <w:rPr>
          <w:b/>
          <w:color w:val="auto"/>
        </w:rPr>
        <w:t>Supplementary Table 1</w:t>
      </w:r>
      <w:r w:rsidRPr="001D1DA8">
        <w:rPr>
          <w:color w:val="auto"/>
        </w:rPr>
        <w:t>. Relative percentages of retrogradely-traced neurons that were or were not positive for RLN3 and their differences in the three combinations of MS/</w:t>
      </w:r>
      <w:proofErr w:type="spellStart"/>
      <w:r w:rsidRPr="001D1DA8">
        <w:rPr>
          <w:color w:val="auto"/>
        </w:rPr>
        <w:t>LEnt</w:t>
      </w:r>
      <w:proofErr w:type="spellEnd"/>
      <w:r w:rsidRPr="001D1DA8">
        <w:rPr>
          <w:color w:val="auto"/>
        </w:rPr>
        <w:t>, MS/</w:t>
      </w:r>
      <w:proofErr w:type="spellStart"/>
      <w:r w:rsidRPr="001D1DA8">
        <w:rPr>
          <w:color w:val="auto"/>
        </w:rPr>
        <w:t>MEnt</w:t>
      </w:r>
      <w:proofErr w:type="spellEnd"/>
      <w:r w:rsidRPr="001D1DA8">
        <w:rPr>
          <w:color w:val="auto"/>
        </w:rPr>
        <w:t xml:space="preserve"> and MS/DG. Percentages are entered as mean ± standard error of the mean.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D1DA8" w:rsidRPr="001D1DA8" w14:paraId="1C0F27CE" w14:textId="77777777" w:rsidTr="00F12C3E">
        <w:tc>
          <w:tcPr>
            <w:tcW w:w="8494" w:type="dxa"/>
            <w:gridSpan w:val="4"/>
          </w:tcPr>
          <w:p w14:paraId="73C307CD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bookmarkStart w:id="1" w:name="_heading=h.gjdgxs" w:colFirst="0" w:colLast="0"/>
            <w:bookmarkEnd w:id="1"/>
            <w:r w:rsidRPr="001D1DA8">
              <w:rPr>
                <w:b/>
                <w:color w:val="auto"/>
                <w:sz w:val="20"/>
                <w:szCs w:val="20"/>
              </w:rPr>
              <w:t>MS/</w:t>
            </w:r>
            <w:proofErr w:type="spellStart"/>
            <w:r w:rsidRPr="001D1DA8">
              <w:rPr>
                <w:b/>
                <w:color w:val="auto"/>
                <w:sz w:val="20"/>
                <w:szCs w:val="20"/>
              </w:rPr>
              <w:t>LEnt</w:t>
            </w:r>
            <w:proofErr w:type="spellEnd"/>
            <w:r w:rsidRPr="001D1DA8">
              <w:rPr>
                <w:b/>
                <w:color w:val="auto"/>
                <w:sz w:val="20"/>
                <w:szCs w:val="20"/>
              </w:rPr>
              <w:t xml:space="preserve"> Combinations</w:t>
            </w:r>
          </w:p>
        </w:tc>
      </w:tr>
      <w:tr w:rsidR="001D1DA8" w:rsidRPr="001D1DA8" w14:paraId="56519471" w14:textId="77777777" w:rsidTr="00762178">
        <w:tc>
          <w:tcPr>
            <w:tcW w:w="4246" w:type="dxa"/>
            <w:gridSpan w:val="2"/>
          </w:tcPr>
          <w:p w14:paraId="0C76C5B5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4248" w:type="dxa"/>
            <w:gridSpan w:val="2"/>
          </w:tcPr>
          <w:p w14:paraId="438B6940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LEnt</w:t>
            </w:r>
            <w:proofErr w:type="spellEnd"/>
          </w:p>
        </w:tc>
      </w:tr>
      <w:tr w:rsidR="001D1DA8" w:rsidRPr="001D1DA8" w14:paraId="52F50C5B" w14:textId="77777777" w:rsidTr="00F12C3E">
        <w:tc>
          <w:tcPr>
            <w:tcW w:w="2123" w:type="dxa"/>
            <w:vAlign w:val="center"/>
          </w:tcPr>
          <w:p w14:paraId="12B884E0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MS/RLN3–</w:t>
            </w:r>
          </w:p>
        </w:tc>
        <w:tc>
          <w:tcPr>
            <w:tcW w:w="2123" w:type="dxa"/>
            <w:vAlign w:val="center"/>
          </w:tcPr>
          <w:p w14:paraId="4BCE4656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MS/RLN3+</w:t>
            </w:r>
          </w:p>
        </w:tc>
        <w:tc>
          <w:tcPr>
            <w:tcW w:w="2124" w:type="dxa"/>
            <w:vAlign w:val="center"/>
          </w:tcPr>
          <w:p w14:paraId="436D3D97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LEnt</w:t>
            </w:r>
            <w:proofErr w:type="spellEnd"/>
            <w:r w:rsidRPr="001D1DA8">
              <w:rPr>
                <w:color w:val="auto"/>
                <w:sz w:val="20"/>
                <w:szCs w:val="20"/>
              </w:rPr>
              <w:t>/RLN3–</w:t>
            </w:r>
          </w:p>
        </w:tc>
        <w:tc>
          <w:tcPr>
            <w:tcW w:w="2124" w:type="dxa"/>
            <w:vAlign w:val="center"/>
          </w:tcPr>
          <w:p w14:paraId="50E0965B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LEnt</w:t>
            </w:r>
            <w:proofErr w:type="spellEnd"/>
            <w:r w:rsidRPr="001D1DA8">
              <w:rPr>
                <w:color w:val="auto"/>
                <w:sz w:val="20"/>
                <w:szCs w:val="20"/>
              </w:rPr>
              <w:t>/RLN3+</w:t>
            </w:r>
          </w:p>
        </w:tc>
      </w:tr>
      <w:tr w:rsidR="001D1DA8" w:rsidRPr="001D1DA8" w14:paraId="65D00922" w14:textId="77777777" w:rsidTr="00F12C3E">
        <w:tc>
          <w:tcPr>
            <w:tcW w:w="2123" w:type="dxa"/>
            <w:vAlign w:val="center"/>
          </w:tcPr>
          <w:p w14:paraId="1DE7DD19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76.4 ± 1.9</w:t>
            </w:r>
          </w:p>
        </w:tc>
        <w:tc>
          <w:tcPr>
            <w:tcW w:w="2123" w:type="dxa"/>
            <w:vAlign w:val="center"/>
          </w:tcPr>
          <w:p w14:paraId="6319B9F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23.6 ± 1.9</w:t>
            </w:r>
          </w:p>
        </w:tc>
        <w:tc>
          <w:tcPr>
            <w:tcW w:w="2124" w:type="dxa"/>
            <w:vAlign w:val="center"/>
          </w:tcPr>
          <w:p w14:paraId="6D00D156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60.7 ± 4.3</w:t>
            </w:r>
          </w:p>
        </w:tc>
        <w:tc>
          <w:tcPr>
            <w:tcW w:w="2124" w:type="dxa"/>
            <w:vAlign w:val="center"/>
          </w:tcPr>
          <w:p w14:paraId="536BB372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39.3 ± 4.3</w:t>
            </w:r>
          </w:p>
        </w:tc>
      </w:tr>
      <w:tr w:rsidR="001D1DA8" w:rsidRPr="001D1DA8" w14:paraId="5BBA1F5B" w14:textId="77777777" w:rsidTr="00D204FC">
        <w:tc>
          <w:tcPr>
            <w:tcW w:w="8494" w:type="dxa"/>
            <w:gridSpan w:val="4"/>
          </w:tcPr>
          <w:p w14:paraId="78FB4CB1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b/>
                <w:color w:val="auto"/>
                <w:sz w:val="20"/>
                <w:szCs w:val="20"/>
              </w:rPr>
              <w:t>MS/</w:t>
            </w:r>
            <w:proofErr w:type="spellStart"/>
            <w:r w:rsidRPr="001D1DA8">
              <w:rPr>
                <w:b/>
                <w:color w:val="auto"/>
                <w:sz w:val="20"/>
                <w:szCs w:val="20"/>
              </w:rPr>
              <w:t>MEnt</w:t>
            </w:r>
            <w:proofErr w:type="spellEnd"/>
            <w:r w:rsidRPr="001D1DA8">
              <w:rPr>
                <w:b/>
                <w:color w:val="auto"/>
                <w:sz w:val="20"/>
                <w:szCs w:val="20"/>
              </w:rPr>
              <w:t xml:space="preserve"> Combinations</w:t>
            </w:r>
          </w:p>
        </w:tc>
      </w:tr>
      <w:tr w:rsidR="001D1DA8" w:rsidRPr="001D1DA8" w14:paraId="6BD8F17E" w14:textId="77777777" w:rsidTr="00CB5FCC">
        <w:tc>
          <w:tcPr>
            <w:tcW w:w="4246" w:type="dxa"/>
            <w:gridSpan w:val="2"/>
          </w:tcPr>
          <w:p w14:paraId="0E51C60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4248" w:type="dxa"/>
            <w:gridSpan w:val="2"/>
          </w:tcPr>
          <w:p w14:paraId="7227619E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MEnt</w:t>
            </w:r>
            <w:proofErr w:type="spellEnd"/>
          </w:p>
        </w:tc>
      </w:tr>
      <w:tr w:rsidR="001D1DA8" w:rsidRPr="001D1DA8" w14:paraId="0D15DA6F" w14:textId="77777777" w:rsidTr="00F12C3E">
        <w:tc>
          <w:tcPr>
            <w:tcW w:w="2123" w:type="dxa"/>
            <w:vAlign w:val="center"/>
          </w:tcPr>
          <w:p w14:paraId="7CB55BCA" w14:textId="77777777" w:rsidR="00F12C3E" w:rsidRPr="001D1DA8" w:rsidRDefault="00F12C3E" w:rsidP="00F12C3E">
            <w:pPr>
              <w:spacing w:before="60" w:after="0"/>
              <w:ind w:firstLine="449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MS/RLN3–</w:t>
            </w:r>
          </w:p>
        </w:tc>
        <w:tc>
          <w:tcPr>
            <w:tcW w:w="2123" w:type="dxa"/>
            <w:vAlign w:val="center"/>
          </w:tcPr>
          <w:p w14:paraId="548F5FA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MS/RLN3+</w:t>
            </w:r>
          </w:p>
        </w:tc>
        <w:tc>
          <w:tcPr>
            <w:tcW w:w="2124" w:type="dxa"/>
            <w:vAlign w:val="center"/>
          </w:tcPr>
          <w:p w14:paraId="1B563D1A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MEnt</w:t>
            </w:r>
            <w:proofErr w:type="spellEnd"/>
            <w:r w:rsidRPr="001D1DA8">
              <w:rPr>
                <w:color w:val="auto"/>
                <w:sz w:val="20"/>
                <w:szCs w:val="20"/>
              </w:rPr>
              <w:t>/RLN3–</w:t>
            </w:r>
          </w:p>
        </w:tc>
        <w:tc>
          <w:tcPr>
            <w:tcW w:w="2124" w:type="dxa"/>
            <w:vAlign w:val="center"/>
          </w:tcPr>
          <w:p w14:paraId="5672CC56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D1DA8">
              <w:rPr>
                <w:color w:val="auto"/>
                <w:sz w:val="20"/>
                <w:szCs w:val="20"/>
              </w:rPr>
              <w:t>MEnt</w:t>
            </w:r>
            <w:proofErr w:type="spellEnd"/>
            <w:r w:rsidRPr="001D1DA8">
              <w:rPr>
                <w:color w:val="auto"/>
                <w:sz w:val="20"/>
                <w:szCs w:val="20"/>
              </w:rPr>
              <w:t>/RLN3+</w:t>
            </w:r>
          </w:p>
        </w:tc>
      </w:tr>
      <w:tr w:rsidR="001D1DA8" w:rsidRPr="001D1DA8" w14:paraId="7E780DC2" w14:textId="77777777" w:rsidTr="00F12C3E">
        <w:tc>
          <w:tcPr>
            <w:tcW w:w="2123" w:type="dxa"/>
            <w:vAlign w:val="center"/>
          </w:tcPr>
          <w:p w14:paraId="1A6989FA" w14:textId="77777777" w:rsidR="00F12C3E" w:rsidRPr="001D1DA8" w:rsidRDefault="00F12C3E" w:rsidP="00F12C3E">
            <w:pPr>
              <w:spacing w:before="60" w:after="0"/>
              <w:ind w:left="308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79.6 ± 2.5</w:t>
            </w:r>
          </w:p>
        </w:tc>
        <w:tc>
          <w:tcPr>
            <w:tcW w:w="2123" w:type="dxa"/>
            <w:vAlign w:val="center"/>
          </w:tcPr>
          <w:p w14:paraId="5DDEF164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20.4 ± 2.5</w:t>
            </w:r>
          </w:p>
        </w:tc>
        <w:tc>
          <w:tcPr>
            <w:tcW w:w="2124" w:type="dxa"/>
            <w:vAlign w:val="center"/>
          </w:tcPr>
          <w:p w14:paraId="4CDF84A9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71.0 ± 3.5</w:t>
            </w:r>
          </w:p>
        </w:tc>
        <w:tc>
          <w:tcPr>
            <w:tcW w:w="2124" w:type="dxa"/>
            <w:vAlign w:val="center"/>
          </w:tcPr>
          <w:p w14:paraId="35F1207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28.9 ± 3.5</w:t>
            </w:r>
          </w:p>
        </w:tc>
      </w:tr>
      <w:tr w:rsidR="001D1DA8" w:rsidRPr="001D1DA8" w14:paraId="59529FD1" w14:textId="77777777" w:rsidTr="00FC678F">
        <w:tc>
          <w:tcPr>
            <w:tcW w:w="8494" w:type="dxa"/>
            <w:gridSpan w:val="4"/>
          </w:tcPr>
          <w:p w14:paraId="5EB4CE13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b/>
                <w:color w:val="auto"/>
                <w:sz w:val="20"/>
                <w:szCs w:val="20"/>
              </w:rPr>
              <w:t>MS/DG Combinations</w:t>
            </w:r>
          </w:p>
        </w:tc>
      </w:tr>
      <w:tr w:rsidR="001D1DA8" w:rsidRPr="001D1DA8" w14:paraId="2408D5C4" w14:textId="77777777" w:rsidTr="006A5D25">
        <w:tc>
          <w:tcPr>
            <w:tcW w:w="4246" w:type="dxa"/>
            <w:gridSpan w:val="2"/>
          </w:tcPr>
          <w:p w14:paraId="51CA0ADD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4248" w:type="dxa"/>
            <w:gridSpan w:val="2"/>
          </w:tcPr>
          <w:p w14:paraId="4F0F9661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</w:rPr>
            </w:pPr>
            <w:r w:rsidRPr="001D1DA8">
              <w:rPr>
                <w:color w:val="auto"/>
                <w:sz w:val="20"/>
                <w:szCs w:val="20"/>
              </w:rPr>
              <w:t>DG</w:t>
            </w:r>
          </w:p>
        </w:tc>
      </w:tr>
      <w:tr w:rsidR="001D1DA8" w:rsidRPr="001D1DA8" w14:paraId="1D980606" w14:textId="77777777" w:rsidTr="00F12C3E">
        <w:tc>
          <w:tcPr>
            <w:tcW w:w="2123" w:type="dxa"/>
            <w:vAlign w:val="center"/>
          </w:tcPr>
          <w:p w14:paraId="01FD8178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MS/RLN3–</w:t>
            </w:r>
          </w:p>
        </w:tc>
        <w:tc>
          <w:tcPr>
            <w:tcW w:w="2123" w:type="dxa"/>
            <w:vAlign w:val="center"/>
          </w:tcPr>
          <w:p w14:paraId="755C9415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MS/RLN3+</w:t>
            </w:r>
          </w:p>
        </w:tc>
        <w:tc>
          <w:tcPr>
            <w:tcW w:w="2124" w:type="dxa"/>
            <w:vAlign w:val="center"/>
          </w:tcPr>
          <w:p w14:paraId="7BA9F25F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DG/RLN3–</w:t>
            </w:r>
          </w:p>
        </w:tc>
        <w:tc>
          <w:tcPr>
            <w:tcW w:w="2124" w:type="dxa"/>
            <w:vAlign w:val="center"/>
          </w:tcPr>
          <w:p w14:paraId="41C42A50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DG/RLN3+</w:t>
            </w:r>
          </w:p>
        </w:tc>
      </w:tr>
      <w:tr w:rsidR="00F12C3E" w:rsidRPr="001D1DA8" w14:paraId="33133454" w14:textId="77777777" w:rsidTr="00F12C3E">
        <w:tc>
          <w:tcPr>
            <w:tcW w:w="2123" w:type="dxa"/>
            <w:vAlign w:val="center"/>
          </w:tcPr>
          <w:p w14:paraId="6C2BC82D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79.2 ± 2.9</w:t>
            </w:r>
          </w:p>
        </w:tc>
        <w:tc>
          <w:tcPr>
            <w:tcW w:w="2123" w:type="dxa"/>
            <w:vAlign w:val="center"/>
          </w:tcPr>
          <w:p w14:paraId="66AB68C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20.8 ± 2.9</w:t>
            </w:r>
          </w:p>
        </w:tc>
        <w:tc>
          <w:tcPr>
            <w:tcW w:w="2124" w:type="dxa"/>
            <w:vAlign w:val="center"/>
          </w:tcPr>
          <w:p w14:paraId="58E03D17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67.8 ± 4.0</w:t>
            </w:r>
          </w:p>
        </w:tc>
        <w:tc>
          <w:tcPr>
            <w:tcW w:w="2124" w:type="dxa"/>
            <w:vAlign w:val="center"/>
          </w:tcPr>
          <w:p w14:paraId="2D94732C" w14:textId="77777777" w:rsidR="00F12C3E" w:rsidRPr="001D1DA8" w:rsidRDefault="00F12C3E" w:rsidP="00F12C3E">
            <w:pPr>
              <w:spacing w:before="60" w:after="0"/>
              <w:jc w:val="center"/>
              <w:rPr>
                <w:color w:val="auto"/>
                <w:sz w:val="20"/>
                <w:szCs w:val="20"/>
              </w:rPr>
            </w:pPr>
            <w:r w:rsidRPr="001D1DA8">
              <w:rPr>
                <w:color w:val="auto"/>
                <w:sz w:val="20"/>
                <w:szCs w:val="20"/>
              </w:rPr>
              <w:t>35.3 ± 4.0</w:t>
            </w:r>
          </w:p>
        </w:tc>
      </w:tr>
    </w:tbl>
    <w:p w14:paraId="02CB5016" w14:textId="77777777" w:rsidR="00930533" w:rsidRPr="001D1DA8" w:rsidRDefault="00930533">
      <w:pPr>
        <w:rPr>
          <w:color w:val="auto"/>
        </w:rPr>
      </w:pPr>
    </w:p>
    <w:sectPr w:rsidR="00930533" w:rsidRPr="001D1DA8" w:rsidSect="001D1DA8">
      <w:pgSz w:w="11906" w:h="16838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33"/>
    <w:rsid w:val="001D1DA8"/>
    <w:rsid w:val="005750D3"/>
    <w:rsid w:val="00930533"/>
    <w:rsid w:val="00F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638F"/>
  <w15:docId w15:val="{6BAD48F1-3379-464B-A5FD-1FA3CAA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s-E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18"/>
    <w:rPr>
      <w:lang w:val="en-AU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139"/>
    <w:pPr>
      <w:keepNext/>
      <w:keepLines/>
      <w:spacing w:before="240" w:after="0"/>
      <w:outlineLvl w:val="0"/>
    </w:pPr>
    <w:rPr>
      <w:rFonts w:eastAsiaTheme="majorEastAsia" w:cs="Arial"/>
      <w:b/>
      <w:iCs/>
      <w:color w:val="53565A"/>
      <w:sz w:val="28"/>
      <w:szCs w:val="32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CF0139"/>
    <w:rPr>
      <w:rFonts w:ascii="Times New Roman" w:eastAsiaTheme="majorEastAsia" w:hAnsi="Times New Roman" w:cs="Arial"/>
      <w:b/>
      <w:iCs/>
      <w:color w:val="53565A"/>
      <w:sz w:val="28"/>
      <w:szCs w:val="32"/>
      <w:lang w:val="en-US"/>
    </w:rPr>
  </w:style>
  <w:style w:type="table" w:styleId="Tablaconcuadrcula">
    <w:name w:val="Table Grid"/>
    <w:basedOn w:val="Tablanormal"/>
    <w:uiPriority w:val="39"/>
    <w:rsid w:val="00C97F18"/>
    <w:pPr>
      <w:spacing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GZYCzCX/wTBM6/YAlHQMiF4LA==">AMUW2mXu8VA8CF9zukR2SL/4z08aubSYcRtMJnu+B6f/NEmcU2rYxBTGgjPo8PrZU/J6b6IgTaqQa7kJt1JV4m0gmNotPRv1sxp/36nznBK/zgYKvPhu3g3haPS/35mbN0/typTl5etO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650E24-BF4E-3444-9DF5-35572729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Eliseo Olucha Bordonau</dc:creator>
  <cp:lastModifiedBy>Usuario de Microsoft Office</cp:lastModifiedBy>
  <cp:revision>2</cp:revision>
  <dcterms:created xsi:type="dcterms:W3CDTF">2023-07-20T07:22:00Z</dcterms:created>
  <dcterms:modified xsi:type="dcterms:W3CDTF">2023-07-20T07:22:00Z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http://www.zotero.org/styles/behavioural-brain-research</vt:lpwstr>
  </property>
  <property fmtid="{D5CDD505-2E9C-101B-9397-08002B2CF9AE}" pid="5" name="Mendeley Recent Style Name 1_1">
    <vt:lpwstr>Behavioural Brain Research</vt:lpwstr>
  </property>
  <property fmtid="{D5CDD505-2E9C-101B-9397-08002B2CF9AE}" pid="6" name="Mendeley Recent Style Id 2_1">
    <vt:lpwstr>http://www.zotero.org/styles/cns-and-neurological-disorders-drug-targets</vt:lpwstr>
  </property>
  <property fmtid="{D5CDD505-2E9C-101B-9397-08002B2CF9AE}" pid="7" name="Mendeley Recent Style Name 2_1">
    <vt:lpwstr>CNS &amp; Neurological Disorders - Drug Targets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http://csl.mendeley.com/styles/29042801/CNS-neuroscience-therapeutics-olucha</vt:lpwstr>
  </property>
  <property fmtid="{D5CDD505-2E9C-101B-9397-08002B2CF9AE}" pid="11" name="Mendeley Recent Style Name 4_1">
    <vt:lpwstr>Elsevier (numeric, with titles) - Francisco E Olucha-Bordonau - Olucha-Bordonau Francisco</vt:lpwstr>
  </property>
  <property fmtid="{D5CDD505-2E9C-101B-9397-08002B2CF9AE}" pid="12" name="Mendeley Recent Style Id 5_1">
    <vt:lpwstr>http://www.zotero.org/styles/frontiers-in-neuroanatomy</vt:lpwstr>
  </property>
  <property fmtid="{D5CDD505-2E9C-101B-9397-08002B2CF9AE}" pid="13" name="Mendeley Recent Style Name 5_1">
    <vt:lpwstr>Frontiers in Neuroanatomy</vt:lpwstr>
  </property>
  <property fmtid="{D5CDD505-2E9C-101B-9397-08002B2CF9AE}" pid="14" name="Mendeley Recent Style Id 6_1">
    <vt:lpwstr>http://www.zotero.org/styles/neuropsychopharmacology</vt:lpwstr>
  </property>
  <property fmtid="{D5CDD505-2E9C-101B-9397-08002B2CF9AE}" pid="15" name="Mendeley Recent Style Name 6_1">
    <vt:lpwstr>Neuropsychopharmacology</vt:lpwstr>
  </property>
  <property fmtid="{D5CDD505-2E9C-101B-9397-08002B2CF9AE}" pid="16" name="Mendeley Recent Style Id 7_1">
    <vt:lpwstr>http://csl.mendeley.com/styles/278810961/springer-basic-author-date</vt:lpwstr>
  </property>
  <property fmtid="{D5CDD505-2E9C-101B-9397-08002B2CF9AE}" pid="17" name="Mendeley Recent Style Name 7_1">
    <vt:lpwstr>Springer - Basic (author-date) - Hector Albert</vt:lpwstr>
  </property>
  <property fmtid="{D5CDD505-2E9C-101B-9397-08002B2CF9AE}" pid="18" name="Mendeley Recent Style Id 8_1">
    <vt:lpwstr>http://www.zotero.org/styles/the-journal-of-comparative-neurology</vt:lpwstr>
  </property>
  <property fmtid="{D5CDD505-2E9C-101B-9397-08002B2CF9AE}" pid="19" name="Mendeley Recent Style Name 8_1">
    <vt:lpwstr>The Journal of Comparative Neurology</vt:lpwstr>
  </property>
  <property fmtid="{D5CDD505-2E9C-101B-9397-08002B2CF9AE}" pid="20" name="Mendeley Recent Style Id 9_1">
    <vt:lpwstr>http://csl.mendeley.com/styles/29042801/the-journal-of-anatomy</vt:lpwstr>
  </property>
  <property fmtid="{D5CDD505-2E9C-101B-9397-08002B2CF9AE}" pid="21" name="Mendeley Recent Style Name 9_1">
    <vt:lpwstr>The Journal of Comparative Neurology - Francisco E Olucha-Bordonau</vt:lpwstr>
  </property>
</Properties>
</file>