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76"/>
          <w:szCs w:val="76"/>
        </w:rPr>
      </w:pPr>
      <w:r w:rsidDel="00000000" w:rsidR="00000000" w:rsidRPr="00000000">
        <w:rPr>
          <w:sz w:val="76"/>
          <w:szCs w:val="76"/>
          <w:rtl w:val="0"/>
        </w:rPr>
        <w:t xml:space="preserve">Resumen para cierre curso «Alfabetización informacional» y reflexión final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-914399</wp:posOffset>
                </wp:positionV>
                <wp:extent cx="7947025" cy="1314060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385188" y="0"/>
                          <a:ext cx="7921625" cy="7560000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-914399</wp:posOffset>
                </wp:positionV>
                <wp:extent cx="7947025" cy="1314060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7025" cy="13140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color w:val="ffffff"/>
          <w:sz w:val="36"/>
          <w:szCs w:val="36"/>
        </w:rPr>
      </w:pPr>
      <w:r w:rsidDel="00000000" w:rsidR="00000000" w:rsidRPr="00000000">
        <w:rPr>
          <w:color w:val="ffffff"/>
          <w:sz w:val="36"/>
          <w:szCs w:val="36"/>
          <w:rtl w:val="0"/>
        </w:rPr>
        <w:t xml:space="preserve">Dora Sales Salvador y Alessandra Farné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color w:val="ffffff"/>
          <w:sz w:val="36"/>
          <w:szCs w:val="36"/>
        </w:rPr>
      </w:pPr>
      <w:r w:rsidDel="00000000" w:rsidR="00000000" w:rsidRPr="00000000">
        <w:rPr>
          <w:color w:val="ffffff"/>
          <w:sz w:val="36"/>
          <w:szCs w:val="36"/>
          <w:rtl w:val="0"/>
        </w:rPr>
        <w:t xml:space="preserve">Universitat Jaume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color w:val="ffffff"/>
          <w:sz w:val="36"/>
          <w:szCs w:val="36"/>
        </w:rPr>
      </w:pPr>
      <w:r w:rsidDel="00000000" w:rsidR="00000000" w:rsidRPr="00000000">
        <w:rPr>
          <w:color w:val="ffffff"/>
          <w:sz w:val="36"/>
          <w:szCs w:val="36"/>
          <w:rtl w:val="0"/>
        </w:rPr>
        <w:t xml:space="preserve">Febrero 2023</w:t>
      </w:r>
    </w:p>
    <w:p w:rsidR="00000000" w:rsidDel="00000000" w:rsidP="00000000" w:rsidRDefault="00000000" w:rsidRPr="00000000" w14:paraId="00000005">
      <w:pPr>
        <w:rPr>
          <w:color w:val="ffffff"/>
          <w:sz w:val="48"/>
          <w:szCs w:val="48"/>
        </w:rPr>
        <w:sectPr>
          <w:footerReference r:id="rId8" w:type="default"/>
          <w:footerReference r:id="rId9" w:type="first"/>
          <w:pgSz w:h="16838" w:w="11906" w:orient="portrait"/>
          <w:pgMar w:bottom="1418" w:top="1418" w:left="1418" w:right="1418" w:header="709" w:footer="709"/>
          <w:pgNumType w:start="0"/>
          <w:titlePg w:val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4648200</wp:posOffset>
                </wp:positionV>
                <wp:extent cx="1369695" cy="390525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70678" y="3594263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#ProDigital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4648200</wp:posOffset>
                </wp:positionV>
                <wp:extent cx="1369695" cy="390525"/>
                <wp:effectExtent b="0" l="0" r="0" t="0"/>
                <wp:wrapSquare wrapText="bothSides" distB="0" distT="0" distL="114300" distR="11430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69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4647565</wp:posOffset>
            </wp:positionV>
            <wp:extent cx="1894205" cy="396240"/>
            <wp:effectExtent b="0" l="0" r="0" t="0"/>
            <wp:wrapSquare wrapText="bothSides" distB="0" distT="0" distL="114300" distR="11430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  <w:sectPr>
          <w:footerReference r:id="rId12" w:type="first"/>
          <w:type w:val="nextPage"/>
          <w:pgSz w:h="16838" w:w="11906" w:orient="portrait"/>
          <w:pgMar w:bottom="1440" w:top="1440" w:left="1077" w:right="1077" w:header="709" w:footer="709"/>
          <w:pgNumType w:start="0"/>
          <w:titlePg w:val="1"/>
        </w:sect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44800" cy="399600"/>
            <wp:effectExtent b="0" l="0" r="0" t="0"/>
            <wp:wrapSquare wrapText="bothSides" distB="0" distT="0" distL="114300" distR="114300"/>
            <wp:docPr id="1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9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7480300</wp:posOffset>
                </wp:positionV>
                <wp:extent cx="6211621" cy="978718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49715" y="3300166"/>
                          <a:ext cx="6192571" cy="959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Aquest document s'ha creat en el marc del projecte </w:t>
                            </w: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003864"/>
                                <w:sz w:val="24"/>
                                <w:u w:val="single"/>
                                <w:vertAlign w:val="baseline"/>
                              </w:rPr>
                              <w:t xml:space="preserve">ProDigital</w:t>
                            </w: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 i es publica amb una llicència </w:t>
                            </w: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003864"/>
                                <w:sz w:val="24"/>
                                <w:u w:val="single"/>
                                <w:vertAlign w:val="baseline"/>
                              </w:rPr>
                              <w:t xml:space="preserve">Reconeixement-NoComercial-CompartirIgual 4.0 Internacional</w:t>
                            </w: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0"/>
                                <w:i w:val="0"/>
                                <w:smallCaps w:val="0"/>
                                <w:strike w:val="0"/>
                                <w:color w:val="1a1a1a"/>
                                <w:sz w:val="24"/>
                                <w:vertAlign w:val="baseline"/>
                              </w:rPr>
                              <w:t xml:space="preserve"> de Creative Commons (CC BY-NC-SA 4.0).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7480300</wp:posOffset>
                </wp:positionV>
                <wp:extent cx="6211621" cy="978718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1621" cy="9787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IBM Plex Sans SemiBold" w:cs="IBM Plex Sans SemiBold" w:eastAsia="IBM Plex Sans SemiBold" w:hAnsi="IBM Plex Sans SemiBold"/>
          <w:b w:val="0"/>
          <w:i w:val="0"/>
          <w:smallCaps w:val="0"/>
          <w:strike w:val="0"/>
          <w:color w:val="1a1a1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SemiBold" w:cs="IBM Plex Sans SemiBold" w:eastAsia="IBM Plex Sans SemiBold" w:hAnsi="IBM Plex Sans SemiBold"/>
          <w:b w:val="0"/>
          <w:i w:val="0"/>
          <w:smallCaps w:val="0"/>
          <w:strike w:val="0"/>
          <w:color w:val="1a1a1a"/>
          <w:sz w:val="32"/>
          <w:szCs w:val="32"/>
          <w:u w:val="none"/>
          <w:shd w:fill="auto" w:val="clear"/>
          <w:vertAlign w:val="baseline"/>
          <w:rtl w:val="0"/>
        </w:rPr>
        <w:t xml:space="preserve">ÍND</w:t>
      </w:r>
      <w:r w:rsidDel="00000000" w:rsidR="00000000" w:rsidRPr="00000000">
        <w:rPr>
          <w:rFonts w:ascii="IBM Plex Sans SemiBold" w:cs="IBM Plex Sans SemiBold" w:eastAsia="IBM Plex Sans SemiBold" w:hAnsi="IBM Plex Sans SemiBold"/>
          <w:sz w:val="32"/>
          <w:szCs w:val="32"/>
          <w:rtl w:val="0"/>
        </w:rPr>
        <w:t xml:space="preserve">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tabs>
              <w:tab w:val="right" w:leader="none" w:pos="9751.511811023625"/>
            </w:tabs>
            <w:spacing w:before="80" w:line="240" w:lineRule="auto"/>
            <w:ind w:left="0" w:firstLine="0"/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enw98ugq7914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1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 Resumen a modo de cierre del curso «Alfabetización informacional»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_heading=h.enw98ugq7914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leader="none" w:pos="9751.511811023625"/>
            </w:tabs>
            <w:spacing w:before="200" w:line="240" w:lineRule="auto"/>
            <w:ind w:left="0" w:firstLine="0"/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zh7piekvustu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1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 Propuesta de actividad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_heading=h.zh7piekvustu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1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leader="none" w:pos="9751.511811023625"/>
            </w:tabs>
            <w:spacing w:after="80" w:before="60" w:line="240" w:lineRule="auto"/>
            <w:ind w:left="360" w:firstLine="0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IBM Plex Sans Light" w:cs="IBM Plex Sans Light" w:eastAsia="IBM Plex Sans Light" w:hAnsi="IBM Plex Sans Light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Reflexión final</w:t>
            </w:r>
          </w:hyperlink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C">
      <w:pPr>
        <w:pStyle w:val="Heading1"/>
        <w:rPr/>
        <w:sectPr>
          <w:type w:val="nextPage"/>
          <w:pgSz w:h="16838" w:w="11906" w:orient="portrait"/>
          <w:pgMar w:bottom="1440" w:top="1440" w:left="1077" w:right="1077" w:header="709" w:footer="709"/>
          <w:pgNumType w:start="0"/>
          <w:titlePg w:val="1"/>
        </w:sectPr>
      </w:pPr>
      <w:bookmarkStart w:colFirst="0" w:colLast="0" w:name="_heading=h.ygniltmce20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heading=h.enw98ugq7914" w:id="1"/>
      <w:bookmarkEnd w:id="1"/>
      <w:r w:rsidDel="00000000" w:rsidR="00000000" w:rsidRPr="00000000">
        <w:rPr>
          <w:rtl w:val="0"/>
        </w:rPr>
        <w:t xml:space="preserve">01 Resumen a modo de cierre del curso «Alfabetización informacional»</w:t>
      </w:r>
    </w:p>
    <w:p w:rsidR="00000000" w:rsidDel="00000000" w:rsidP="00000000" w:rsidRDefault="00000000" w:rsidRPr="00000000" w14:paraId="0000000E">
      <w:pPr>
        <w:spacing w:after="200" w:line="24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IBM Plex Sans" w:cs="IBM Plex Sans" w:eastAsia="IBM Plex Sans" w:hAnsi="IBM Plex Sans"/>
          <w:color w:val="0000ff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Este curso ha pretendido aportarte conceptos para que sepas qué es la alfabetización informacional y por qué es clave en nuestras vidas, de manera creciente. Con ello, la intención es fomentar tus propias reflexiones al respecto basadas en conocimientos y recomendaciones que puedas aplicar en tus estudios, en tu futura vida profesional y en tu día a 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36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Vivimos en la sociedad de la información. Y en ella el reto que hemos de afrontar cada vez con más urgencia es el de aprender a pensar de manera crítica sobre la información que recibimos, utilizamos, producimos y compartimos. Con ese propósito, hay que aprender a evaluar toda información, es decir, aprender a hacernos preguntas para comprobar su calidad y su fiabilidad. Porque la información tiene valor y hay que aprender a gestionarla siempre desde una perspectiva crítica y ética.</w:t>
      </w:r>
    </w:p>
    <w:p w:rsidR="00000000" w:rsidDel="00000000" w:rsidP="00000000" w:rsidRDefault="00000000" w:rsidRPr="00000000" w14:paraId="00000012">
      <w:pPr>
        <w:spacing w:after="200" w:line="360" w:lineRule="auto"/>
        <w:jc w:val="both"/>
        <w:rPr>
          <w:rFonts w:ascii="IBM Plex Sans" w:cs="IBM Plex Sans" w:eastAsia="IBM Plex Sans" w:hAnsi="IBM Plex Sans"/>
          <w:color w:val="000000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360" w:lineRule="auto"/>
        <w:jc w:val="both"/>
        <w:rPr>
          <w:rFonts w:ascii="IBM Plex Sans" w:cs="IBM Plex Sans" w:eastAsia="IBM Plex Sans" w:hAnsi="IBM Plex Sans"/>
          <w:color w:val="000000"/>
        </w:rPr>
      </w:pPr>
      <w:bookmarkStart w:colFirst="0" w:colLast="0" w:name="_heading=h.u3u08edd4aec" w:id="3"/>
      <w:bookmarkEnd w:id="3"/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La clave para convertirnos en personas alfabetizadas en información es el pensamiento crítico. Una ciudadanía informada es una ciudadanía libre y comprometida con el rigor. Aplicar el pensamiento crítico es cada vez más importante en nuestro mundo globalizado e hiperconectado, en el que crecen no solo la infoxicación sino, ante todo, los siguientes peligros: el peligro de la desinformación, es decir, los bulos y la información inexacta o engañosa, y el peligro de la información maliciosa, como los discursos de odio, que pueden llegar a manipular nuestra perspectiva sobre la realidad. Por todo ello, en tiempos actuales, se habla del problema creciente de la infodemia. </w:t>
      </w:r>
    </w:p>
    <w:p w:rsidR="00000000" w:rsidDel="00000000" w:rsidP="00000000" w:rsidRDefault="00000000" w:rsidRPr="00000000" w14:paraId="00000014">
      <w:pPr>
        <w:spacing w:after="200" w:line="36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36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Dada la familiaridad con la que nos relacionamos con las tecnologías de la información, para incidir en la perspectiva crítica es esencial tomar conciencia de cómo funciona Internet y cuáles son sus limitaciones y sesgos, y aprender a navegar por las redes desde el escepticismo y sin ingenuidad, teniendo en cuenta la dinámica de los algoritmos y los filtros burbuja que generan. </w:t>
      </w:r>
    </w:p>
    <w:p w:rsidR="00000000" w:rsidDel="00000000" w:rsidP="00000000" w:rsidRDefault="00000000" w:rsidRPr="00000000" w14:paraId="00000016">
      <w:pPr>
        <w:spacing w:after="200" w:line="36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36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Por tanto, es esencial consultar en diversas fuentes, para analizar distintos puntos de vista y contrastarlos, y aplicar criterios para hacernos preguntas y evaluar la información. Para ello cabe tener en cuenta criterios como la actualización, la relevancia, la autoridad, la exactitud y el propósito de la información, y habituarnos a ampliar y contrastar buscando información sobre esa fuente en otras fuentes de información, para confirmar si la respaldan o hay algo problemático en torno a ella, haciendo una lectura lateral. </w:t>
      </w:r>
    </w:p>
    <w:p w:rsidR="00000000" w:rsidDel="00000000" w:rsidP="00000000" w:rsidRDefault="00000000" w:rsidRPr="00000000" w14:paraId="00000018">
      <w:pPr>
        <w:spacing w:after="200" w:line="36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36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L</w:t>
      </w: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a alfabetización informacional se relaciona y se solapa especialmente con la alfabetización digital. </w:t>
      </w: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En el actual contexto digital, y teniendo en cuenta el lugar tan importante que tienen las redes sociales, las plataformas y las aplicaciones móviles, es ante todo imprescindible mantener una actitud consciente y crítica para  aprender a hacer un uso ético, saludable y seguro de la información y para desarrollar hábitos digitales que permitan disfrutar de todas las ventajas y acceso al conocimiento que ofrecen las herramientas, pero reduciendo los inconvenientes.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36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60" w:lineRule="auto"/>
        <w:jc w:val="both"/>
        <w:rPr/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En definitiva, duda siempre y contrasta toda información. Hacerlo es parte de nuestra responsabilidad si queremos ejercer una ciudadanía informada, y asimismo es un factor clave para nuestra educación, nuestra profesión (cualquiera que sea), nuestra vida cotidiana y nuestra salud.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/>
      </w:pPr>
      <w:bookmarkStart w:colFirst="0" w:colLast="0" w:name="_heading=h.zh7piekvustu" w:id="4"/>
      <w:bookmarkEnd w:id="4"/>
      <w:r w:rsidDel="00000000" w:rsidR="00000000" w:rsidRPr="00000000">
        <w:rPr>
          <w:rtl w:val="0"/>
        </w:rPr>
        <w:t xml:space="preserve">02 Propuesta de actividad</w:t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heading=h.3znysh7" w:id="5"/>
      <w:bookmarkEnd w:id="5"/>
      <w:r w:rsidDel="00000000" w:rsidR="00000000" w:rsidRPr="00000000">
        <w:rPr>
          <w:rtl w:val="0"/>
        </w:rPr>
        <w:t xml:space="preserve">Reflexión final</w:t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Tras consultar todo el material de este curso, reflexiona en torno a tu percepción sobre la alfabetización informacional, partiendo de las siguientes preguntas:</w:t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¿Piensas que la alfabetización informacional es esencial en tu vida cotidiana?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¿Piensas que la alfabetización informacional es esencial para tu desarrollo como ciudadana o ciudadano?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¿Piensas que la alfabetización informacional es esencial para tu desarrollo académico?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¿Piensas que la alfabetización informacional es esencial para tu futuro profesional?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¿Te preocupa la calidad y veracidad de la información que consultas y/o consumes? ¿Has hecho algo al respecto?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IBM Plex Sans" w:cs="IBM Plex Sans" w:eastAsia="IBM Plex Sans" w:hAnsi="IBM Plex Sans"/>
          <w:color w:val="000000"/>
          <w:u w:val="none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¿Cómo son tus hábitos digitales? ¿Has hecho algo para mejorar tu alfabetización informacional en entornos digitales?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Relee la definición de CILIP (2018): «La alfabetización informacional es la capacidad de pensar de forma crítica y emitir opiniones razonadas sobre cualquier información que encontremos y utilicemos. Nos empodera, como ciudadanos y ciudadanas, para alcanzar y expresar puntos de vista informados y comprometernos plenamente con la sociedad». Piensa qué aspecto destacarías y por qué. 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IBM Plex Sans" w:cs="IBM Plex Sans" w:eastAsia="IBM Plex Sans" w:hAnsi="IBM Plex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40" w:line="276" w:lineRule="auto"/>
        <w:rPr>
          <w:rFonts w:ascii="IBM Plex Sans" w:cs="IBM Plex Sans" w:eastAsia="IBM Plex Sans" w:hAnsi="IBM Plex Sans"/>
          <w:b w:val="1"/>
          <w:color w:val="000000"/>
        </w:rPr>
      </w:pPr>
      <w:r w:rsidDel="00000000" w:rsidR="00000000" w:rsidRPr="00000000">
        <w:rPr>
          <w:rFonts w:ascii="IBM Plex Sans" w:cs="IBM Plex Sans" w:eastAsia="IBM Plex Sans" w:hAnsi="IBM Plex Sans"/>
          <w:b w:val="1"/>
          <w:color w:val="000000"/>
          <w:rtl w:val="0"/>
        </w:rPr>
        <w:t xml:space="preserve">¿Cómo citar este documento?</w:t>
      </w:r>
    </w:p>
    <w:p w:rsidR="00000000" w:rsidDel="00000000" w:rsidP="00000000" w:rsidRDefault="00000000" w:rsidRPr="00000000" w14:paraId="0000002B">
      <w:pPr>
        <w:spacing w:before="240" w:line="276" w:lineRule="auto"/>
        <w:jc w:val="both"/>
        <w:rPr/>
      </w:pPr>
      <w:r w:rsidDel="00000000" w:rsidR="00000000" w:rsidRPr="00000000">
        <w:rPr>
          <w:rFonts w:ascii="IBM Plex Sans" w:cs="IBM Plex Sans" w:eastAsia="IBM Plex Sans" w:hAnsi="IBM Plex Sans"/>
          <w:color w:val="000000"/>
          <w:rtl w:val="0"/>
        </w:rPr>
        <w:t xml:space="preserve">Sales Salvador, Dora y Farné, Alessandra (2023). Resumen para cierre curso «Alfabetización informacional» y reflexión final. CC BY-NC-SA 4.0. Projecte ProDigital. Universitat Jaume I. </w:t>
      </w:r>
      <w:hyperlink r:id="rId15">
        <w:r w:rsidDel="00000000" w:rsidR="00000000" w:rsidRPr="00000000">
          <w:rPr>
            <w:rFonts w:ascii="IBM Plex Sans" w:cs="IBM Plex Sans" w:eastAsia="IBM Plex Sans" w:hAnsi="IBM Plex Sans"/>
            <w:color w:val="1155cc"/>
            <w:u w:val="single"/>
            <w:rtl w:val="0"/>
          </w:rPr>
          <w:t xml:space="preserve">http://dx.doi.org/10.6035/ALFIN.2023.07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  <w:sectPr>
          <w:headerReference r:id="rId16" w:type="first"/>
          <w:footerReference r:id="rId17" w:type="first"/>
          <w:type w:val="nextPage"/>
          <w:pgSz w:h="16838" w:w="11906" w:orient="portrait"/>
          <w:pgMar w:bottom="1440" w:top="1440" w:left="1077" w:right="1077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-901699</wp:posOffset>
                </wp:positionV>
                <wp:extent cx="7680325" cy="1391475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518538" y="0"/>
                          <a:ext cx="7654925" cy="7560000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-901699</wp:posOffset>
                </wp:positionV>
                <wp:extent cx="7680325" cy="13914755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0325" cy="13914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8458200</wp:posOffset>
                </wp:positionV>
                <wp:extent cx="1369695" cy="390525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70678" y="3594263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#ProDigital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BM Plex Sans Light" w:cs="IBM Plex Sans Light" w:eastAsia="IBM Plex Sans Light" w:hAnsi="IBM Plex Sans Ligh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8458200</wp:posOffset>
                </wp:positionV>
                <wp:extent cx="1369695" cy="390525"/>
                <wp:effectExtent b="0" l="0" r="0" t="0"/>
                <wp:wrapSquare wrapText="bothSides" distB="0" distT="0" distL="114300" distR="11430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69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216535</wp:posOffset>
            </wp:positionH>
            <wp:positionV relativeFrom="paragraph">
              <wp:posOffset>8460105</wp:posOffset>
            </wp:positionV>
            <wp:extent cx="1894205" cy="396240"/>
            <wp:effectExtent b="0" l="0" r="0" t="0"/>
            <wp:wrapSquare wrapText="bothSides" distB="0" distT="0" distL="114300" distR="11430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20" w:type="first"/>
      <w:type w:val="nextPage"/>
      <w:pgSz w:h="16838" w:w="11906" w:orient="portrait"/>
      <w:pgMar w:bottom="1440" w:top="1440" w:left="1077" w:right="1077" w:header="709" w:footer="709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IBM Plex Sans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  <w:rtl w:val="0"/>
      </w:rPr>
      <w:t xml:space="preserve">[Escriba aquí][Escriba aquí][Escriba aquí]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530"/>
      <w:gridCol w:w="4540"/>
      <w:tblGridChange w:id="0">
        <w:tblGrid>
          <w:gridCol w:w="4530"/>
          <w:gridCol w:w="45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IBM Plex Sans Light" w:cs="IBM Plex Sans Light" w:eastAsia="IBM Plex Sans Light" w:hAnsi="IBM Plex Sans Light"/>
              <w:b w:val="0"/>
              <w:i w:val="0"/>
              <w:smallCaps w:val="0"/>
              <w:strike w:val="0"/>
              <w:color w:val="1a1a1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IBM Plex Sans Light" w:cs="IBM Plex Sans Light" w:eastAsia="IBM Plex Sans Light" w:hAnsi="IBM Plex Sans Light"/>
        <w:b w:val="0"/>
        <w:i w:val="0"/>
        <w:smallCaps w:val="0"/>
        <w:strike w:val="0"/>
        <w:color w:val="1a1a1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BM Plex Sans Light" w:cs="IBM Plex Sans Light" w:eastAsia="IBM Plex Sans Light" w:hAnsi="IBM Plex Sans Light"/>
        <w:color w:val="1a1a1a"/>
        <w:sz w:val="24"/>
        <w:szCs w:val="24"/>
        <w:lang w:val="es"/>
      </w:rPr>
    </w:rPrDefault>
    <w:pPrDefault>
      <w:pPr>
        <w:spacing w:after="24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IBM Plex Sans" w:cs="IBM Plex Sans" w:eastAsia="IBM Plex Sans" w:hAnsi="IBM Plex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40" w:lineRule="auto"/>
    </w:pPr>
    <w:rPr>
      <w:rFonts w:ascii="IBM Plex Sans" w:cs="IBM Plex Sans" w:eastAsia="IBM Plex Sans" w:hAnsi="IBM Plex Sans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1f3863"/>
    </w:rPr>
  </w:style>
  <w:style w:type="paragraph" w:styleId="Title">
    <w:name w:val="Title"/>
    <w:basedOn w:val="Normal"/>
    <w:next w:val="Normal"/>
    <w:pPr>
      <w:spacing w:before="2880" w:line="240" w:lineRule="auto"/>
    </w:pPr>
    <w:rPr>
      <w:rFonts w:ascii="IBM Plex Sans" w:cs="IBM Plex Sans" w:eastAsia="IBM Plex Sans" w:hAnsi="IBM Plex Sans"/>
      <w:b w:val="1"/>
      <w:color w:val="ffffff"/>
      <w:sz w:val="120"/>
      <w:szCs w:val="1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IBM Plex Sans" w:cs="IBM Plex Sans" w:eastAsia="IBM Plex Sans" w:hAnsi="IBM Plex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40" w:lineRule="auto"/>
    </w:pPr>
    <w:rPr>
      <w:rFonts w:ascii="IBM Plex Sans" w:cs="IBM Plex Sans" w:eastAsia="IBM Plex Sans" w:hAnsi="IBM Plex Sans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IBM Plex Sans" w:cs="IBM Plex Sans" w:eastAsia="IBM Plex Sans" w:hAnsi="IBM Plex Sans"/>
      <w:color w:val="1f3863"/>
    </w:rPr>
  </w:style>
  <w:style w:type="paragraph" w:styleId="Title">
    <w:name w:val="Title"/>
    <w:basedOn w:val="Normal"/>
    <w:next w:val="Normal"/>
    <w:pPr>
      <w:spacing w:before="2880" w:line="240" w:lineRule="auto"/>
    </w:pPr>
    <w:rPr>
      <w:rFonts w:ascii="IBM Plex Sans" w:cs="IBM Plex Sans" w:eastAsia="IBM Plex Sans" w:hAnsi="IBM Plex Sans"/>
      <w:b w:val="1"/>
      <w:color w:val="ffffff"/>
      <w:sz w:val="120"/>
      <w:szCs w:val="120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IBM Plex Sans" w:cs="IBM Plex Sans" w:eastAsia="IBM Plex Sans" w:hAnsi="IBM Plex Sans"/>
      <w:color w:val="5a5a5a"/>
      <w:sz w:val="22"/>
      <w:szCs w:val="22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rFonts w:ascii="IBM Plex Sans" w:cs="IBM Plex Sans" w:eastAsia="IBM Plex Sans" w:hAnsi="IBM Plex Sans"/>
      <w:color w:val="5a5a5a"/>
      <w:sz w:val="22"/>
      <w:szCs w:val="22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4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hyperlink" Target="http://dx.doi.org/10.6035/ALFIN.2023.07" TargetMode="External"/><Relationship Id="rId14" Type="http://schemas.openxmlformats.org/officeDocument/2006/relationships/image" Target="media/image5.png"/><Relationship Id="rId17" Type="http://schemas.openxmlformats.org/officeDocument/2006/relationships/footer" Target="footer5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image" Target="media/image4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IBMPlexSansSemiBold-italic.ttf"/><Relationship Id="rId10" Type="http://schemas.openxmlformats.org/officeDocument/2006/relationships/font" Target="fonts/IBMPlexSansSemiBold-bold.ttf"/><Relationship Id="rId12" Type="http://schemas.openxmlformats.org/officeDocument/2006/relationships/font" Target="fonts/IBMPlexSansSemiBold-boldItalic.ttf"/><Relationship Id="rId9" Type="http://schemas.openxmlformats.org/officeDocument/2006/relationships/font" Target="fonts/IBMPlexSansSemiBold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mIsWjoSB1BB77Nq7J7HKUf5sHA==">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