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24" w:rsidRDefault="00D15824">
      <w:pPr>
        <w:spacing w:line="360" w:lineRule="auto"/>
        <w:jc w:val="both"/>
        <w:rPr>
          <w:rFonts w:ascii="Times New Roman" w:eastAsia="Times New Roman" w:hAnsi="Times New Roman" w:cs="Times New Roman"/>
          <w:b/>
          <w:sz w:val="32"/>
          <w:szCs w:val="32"/>
        </w:rPr>
      </w:pPr>
      <w:bookmarkStart w:id="0" w:name="_GoBack"/>
      <w:bookmarkEnd w:id="0"/>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591042">
      <w:pPr>
        <w:spacing w:line="360" w:lineRule="auto"/>
        <w:jc w:val="center"/>
        <w:rPr>
          <w:rFonts w:ascii="Times New Roman" w:eastAsia="Times New Roman" w:hAnsi="Times New Roman" w:cs="Times New Roman"/>
          <w:b/>
          <w:sz w:val="60"/>
          <w:szCs w:val="60"/>
        </w:rPr>
      </w:pPr>
      <w:r>
        <w:rPr>
          <w:rFonts w:ascii="Times New Roman" w:eastAsia="Times New Roman" w:hAnsi="Times New Roman" w:cs="Times New Roman"/>
          <w:b/>
          <w:sz w:val="58"/>
          <w:szCs w:val="58"/>
        </w:rPr>
        <w:t>REVISIÓN DE LA LITERATURA DE LA AUTOEFICACIA PARA LIDERAR</w:t>
      </w:r>
      <w:r>
        <w:rPr>
          <w:rFonts w:ascii="Times New Roman" w:eastAsia="Times New Roman" w:hAnsi="Times New Roman" w:cs="Times New Roman"/>
          <w:b/>
          <w:sz w:val="60"/>
          <w:szCs w:val="60"/>
        </w:rPr>
        <w:t xml:space="preserve"> </w:t>
      </w:r>
    </w:p>
    <w:p w:rsidR="00D15824" w:rsidRDefault="0059104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CURSO 2021/2022</w:t>
      </w:r>
    </w:p>
    <w:p w:rsidR="00D15824" w:rsidRDefault="00D15824">
      <w:pPr>
        <w:spacing w:line="360" w:lineRule="auto"/>
        <w:jc w:val="center"/>
        <w:rPr>
          <w:rFonts w:ascii="Times New Roman" w:eastAsia="Times New Roman" w:hAnsi="Times New Roman" w:cs="Times New Roman"/>
          <w:b/>
          <w:sz w:val="26"/>
          <w:szCs w:val="26"/>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591042">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Alumna: </w:t>
      </w:r>
      <w:r>
        <w:rPr>
          <w:rFonts w:ascii="Times New Roman" w:eastAsia="Times New Roman" w:hAnsi="Times New Roman" w:cs="Times New Roman"/>
          <w:sz w:val="24"/>
          <w:szCs w:val="24"/>
        </w:rPr>
        <w:t>Iris Sáez Sánchez - 54279101K</w:t>
      </w:r>
    </w:p>
    <w:p w:rsidR="00D15824" w:rsidRDefault="00591042">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Tutora: </w:t>
      </w:r>
      <w:r>
        <w:rPr>
          <w:rFonts w:ascii="Times New Roman" w:eastAsia="Times New Roman" w:hAnsi="Times New Roman" w:cs="Times New Roman"/>
          <w:sz w:val="24"/>
          <w:szCs w:val="24"/>
        </w:rPr>
        <w:t>Laritza Machín Rincón</w:t>
      </w:r>
    </w:p>
    <w:p w:rsidR="00D15824" w:rsidRDefault="00D15824">
      <w:pPr>
        <w:spacing w:line="360" w:lineRule="auto"/>
        <w:jc w:val="right"/>
        <w:rPr>
          <w:rFonts w:ascii="Times New Roman" w:eastAsia="Times New Roman" w:hAnsi="Times New Roman" w:cs="Times New Roman"/>
          <w:sz w:val="24"/>
          <w:szCs w:val="24"/>
        </w:rPr>
      </w:pPr>
    </w:p>
    <w:p w:rsidR="00D15824" w:rsidRDefault="00591042">
      <w:pPr>
        <w:spacing w:line="360" w:lineRule="auto"/>
        <w:jc w:val="center"/>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lastRenderedPageBreak/>
        <w:t>ÍNDICE</w:t>
      </w:r>
    </w:p>
    <w:p w:rsidR="00D15824" w:rsidRDefault="00D15824">
      <w:pPr>
        <w:spacing w:line="360" w:lineRule="auto"/>
        <w:jc w:val="both"/>
        <w:rPr>
          <w:rFonts w:ascii="Times New Roman" w:eastAsia="Times New Roman" w:hAnsi="Times New Roman" w:cs="Times New Roman"/>
          <w:b/>
          <w:sz w:val="26"/>
          <w:szCs w:val="26"/>
        </w:rPr>
      </w:pPr>
    </w:p>
    <w:sdt>
      <w:sdtPr>
        <w:id w:val="-1048845800"/>
        <w:docPartObj>
          <w:docPartGallery w:val="Table of Contents"/>
          <w:docPartUnique/>
        </w:docPartObj>
      </w:sdtPr>
      <w:sdtEndPr/>
      <w:sdtContent>
        <w:p w:rsidR="00D15824" w:rsidRDefault="00591042">
          <w:pPr>
            <w:numPr>
              <w:ilvl w:val="0"/>
              <w:numId w:val="3"/>
            </w:numPr>
            <w:tabs>
              <w:tab w:val="right" w:pos="9025"/>
            </w:tabs>
            <w:spacing w:before="80" w:line="360" w:lineRule="auto"/>
            <w:rPr>
              <w:rFonts w:ascii="Times New Roman" w:eastAsia="Times New Roman" w:hAnsi="Times New Roman" w:cs="Times New Roman"/>
              <w:color w:val="000000"/>
              <w:sz w:val="26"/>
              <w:szCs w:val="26"/>
            </w:rPr>
          </w:pPr>
          <w:r>
            <w:fldChar w:fldCharType="begin"/>
          </w:r>
          <w:r>
            <w:instrText xml:space="preserve"> TOC \h \u \z </w:instrText>
          </w:r>
          <w:r>
            <w:fldChar w:fldCharType="separate"/>
          </w:r>
          <w:hyperlink w:anchor="_heading=h.gjdgxs">
            <w:r>
              <w:rPr>
                <w:rFonts w:ascii="Times New Roman" w:eastAsia="Times New Roman" w:hAnsi="Times New Roman" w:cs="Times New Roman"/>
                <w:color w:val="000000"/>
                <w:sz w:val="26"/>
                <w:szCs w:val="26"/>
              </w:rPr>
              <w:t>FUNDAMENTACIÓN TEÓRICA</w:t>
            </w:r>
          </w:hyperlink>
          <w:r>
            <w:rPr>
              <w:rFonts w:ascii="Times New Roman" w:eastAsia="Times New Roman" w:hAnsi="Times New Roman" w:cs="Times New Roman"/>
              <w:color w:val="000000"/>
              <w:sz w:val="26"/>
              <w:szCs w:val="26"/>
            </w:rPr>
            <w:tab/>
          </w:r>
          <w:r>
            <w:fldChar w:fldCharType="begin"/>
          </w:r>
          <w:r>
            <w:instrText xml:space="preserve"> PAGEREF _heading=h.gjdgxs \h </w:instrText>
          </w:r>
          <w:r>
            <w:fldChar w:fldCharType="separate"/>
          </w:r>
          <w:r>
            <w:rPr>
              <w:rFonts w:ascii="Times New Roman" w:eastAsia="Times New Roman" w:hAnsi="Times New Roman" w:cs="Times New Roman"/>
              <w:b/>
              <w:color w:val="000000"/>
              <w:sz w:val="26"/>
              <w:szCs w:val="26"/>
            </w:rPr>
            <w:t>2</w:t>
          </w:r>
          <w:hyperlink w:anchor="_heading=h.gjdgxs" w:history="1"/>
        </w:p>
        <w:p w:rsidR="00D15824" w:rsidRDefault="00591042">
          <w:pPr>
            <w:numPr>
              <w:ilvl w:val="0"/>
              <w:numId w:val="3"/>
            </w:numPr>
            <w:tabs>
              <w:tab w:val="right" w:pos="9025"/>
            </w:tabs>
            <w:spacing w:line="360" w:lineRule="auto"/>
            <w:rPr>
              <w:rFonts w:ascii="Times New Roman" w:eastAsia="Times New Roman" w:hAnsi="Times New Roman" w:cs="Times New Roman"/>
              <w:color w:val="000000"/>
              <w:sz w:val="26"/>
              <w:szCs w:val="26"/>
            </w:rPr>
          </w:pPr>
          <w:r>
            <w:fldChar w:fldCharType="end"/>
          </w:r>
          <w:hyperlink w:anchor="_heading=h.30j0zll">
            <w:r>
              <w:rPr>
                <w:rFonts w:ascii="Times New Roman" w:eastAsia="Times New Roman" w:hAnsi="Times New Roman" w:cs="Times New Roman"/>
                <w:color w:val="000000"/>
                <w:sz w:val="26"/>
                <w:szCs w:val="26"/>
              </w:rPr>
              <w:t>OBJETIVOS</w:t>
            </w:r>
          </w:hyperlink>
          <w:r>
            <w:rPr>
              <w:rFonts w:ascii="Times New Roman" w:eastAsia="Times New Roman" w:hAnsi="Times New Roman" w:cs="Times New Roman"/>
              <w:color w:val="000000"/>
              <w:sz w:val="26"/>
              <w:szCs w:val="26"/>
            </w:rPr>
            <w:tab/>
          </w:r>
          <w:r>
            <w:fldChar w:fldCharType="begin"/>
          </w:r>
          <w:r>
            <w:instrText xml:space="preserve"> PAGEREF _heading=h.30j0zll \h </w:instrText>
          </w:r>
          <w:r>
            <w:fldChar w:fldCharType="separate"/>
          </w:r>
          <w:r>
            <w:rPr>
              <w:rFonts w:ascii="Times New Roman" w:eastAsia="Times New Roman" w:hAnsi="Times New Roman" w:cs="Times New Roman"/>
              <w:b/>
              <w:color w:val="000000"/>
              <w:sz w:val="26"/>
              <w:szCs w:val="26"/>
            </w:rPr>
            <w:t>3</w:t>
          </w:r>
          <w:hyperlink w:anchor="_heading=h.30j0zll" w:history="1"/>
        </w:p>
        <w:p w:rsidR="00D15824" w:rsidRDefault="00591042">
          <w:pPr>
            <w:numPr>
              <w:ilvl w:val="0"/>
              <w:numId w:val="3"/>
            </w:numPr>
            <w:tabs>
              <w:tab w:val="right" w:pos="9025"/>
            </w:tabs>
            <w:spacing w:line="360" w:lineRule="auto"/>
            <w:rPr>
              <w:rFonts w:ascii="Times New Roman" w:eastAsia="Times New Roman" w:hAnsi="Times New Roman" w:cs="Times New Roman"/>
              <w:color w:val="000000"/>
              <w:sz w:val="26"/>
              <w:szCs w:val="26"/>
            </w:rPr>
          </w:pPr>
          <w:r>
            <w:fldChar w:fldCharType="end"/>
          </w:r>
          <w:hyperlink w:anchor="_heading=h.1fob9te">
            <w:r>
              <w:rPr>
                <w:rFonts w:ascii="Times New Roman" w:eastAsia="Times New Roman" w:hAnsi="Times New Roman" w:cs="Times New Roman"/>
                <w:color w:val="000000"/>
                <w:sz w:val="26"/>
                <w:szCs w:val="26"/>
              </w:rPr>
              <w:t>METODOLOGÍA</w:t>
            </w:r>
          </w:hyperlink>
          <w:r>
            <w:rPr>
              <w:rFonts w:ascii="Times New Roman" w:eastAsia="Times New Roman" w:hAnsi="Times New Roman" w:cs="Times New Roman"/>
              <w:color w:val="000000"/>
              <w:sz w:val="26"/>
              <w:szCs w:val="26"/>
            </w:rPr>
            <w:tab/>
          </w:r>
          <w:r>
            <w:fldChar w:fldCharType="begin"/>
          </w:r>
          <w:r>
            <w:instrText xml:space="preserve"> PAGEREF _heading=h.1fob9te \h </w:instrText>
          </w:r>
          <w:r>
            <w:fldChar w:fldCharType="separate"/>
          </w:r>
          <w:r>
            <w:rPr>
              <w:rFonts w:ascii="Times New Roman" w:eastAsia="Times New Roman" w:hAnsi="Times New Roman" w:cs="Times New Roman"/>
              <w:b/>
              <w:color w:val="000000"/>
              <w:sz w:val="26"/>
              <w:szCs w:val="26"/>
            </w:rPr>
            <w:t>3</w:t>
          </w:r>
          <w:hyperlink w:anchor="_heading=h.1fob9te" w:history="1"/>
        </w:p>
        <w:p w:rsidR="00D15824" w:rsidRDefault="00591042">
          <w:pPr>
            <w:numPr>
              <w:ilvl w:val="0"/>
              <w:numId w:val="3"/>
            </w:numPr>
            <w:tabs>
              <w:tab w:val="right" w:pos="9025"/>
            </w:tabs>
            <w:spacing w:line="360" w:lineRule="auto"/>
            <w:rPr>
              <w:rFonts w:ascii="Times New Roman" w:eastAsia="Times New Roman" w:hAnsi="Times New Roman" w:cs="Times New Roman"/>
              <w:color w:val="000000"/>
              <w:sz w:val="26"/>
              <w:szCs w:val="26"/>
            </w:rPr>
          </w:pPr>
          <w:r>
            <w:fldChar w:fldCharType="end"/>
          </w:r>
          <w:hyperlink w:anchor="_heading=h.3znysh7">
            <w:r>
              <w:rPr>
                <w:rFonts w:ascii="Times New Roman" w:eastAsia="Times New Roman" w:hAnsi="Times New Roman" w:cs="Times New Roman"/>
                <w:color w:val="000000"/>
                <w:sz w:val="26"/>
                <w:szCs w:val="26"/>
              </w:rPr>
              <w:t>RESULTADOS</w:t>
            </w:r>
          </w:hyperlink>
          <w:r>
            <w:rPr>
              <w:rFonts w:ascii="Times New Roman" w:eastAsia="Times New Roman" w:hAnsi="Times New Roman" w:cs="Times New Roman"/>
              <w:color w:val="000000"/>
              <w:sz w:val="26"/>
              <w:szCs w:val="26"/>
            </w:rPr>
            <w:tab/>
          </w:r>
          <w:r>
            <w:fldChar w:fldCharType="begin"/>
          </w:r>
          <w:r>
            <w:instrText xml:space="preserve"> PA</w:instrText>
          </w:r>
          <w:r>
            <w:instrText xml:space="preserve">GEREF _heading=h.3znysh7 \h </w:instrText>
          </w:r>
          <w:r>
            <w:fldChar w:fldCharType="separate"/>
          </w:r>
          <w:r>
            <w:rPr>
              <w:rFonts w:ascii="Times New Roman" w:eastAsia="Times New Roman" w:hAnsi="Times New Roman" w:cs="Times New Roman"/>
              <w:b/>
              <w:color w:val="000000"/>
              <w:sz w:val="26"/>
              <w:szCs w:val="26"/>
            </w:rPr>
            <w:t>4</w:t>
          </w:r>
          <w:hyperlink w:anchor="_heading=h.3znysh7" w:history="1"/>
        </w:p>
        <w:p w:rsidR="00D15824" w:rsidRDefault="00591042">
          <w:pPr>
            <w:numPr>
              <w:ilvl w:val="0"/>
              <w:numId w:val="3"/>
            </w:numPr>
            <w:tabs>
              <w:tab w:val="right" w:pos="9025"/>
            </w:tabs>
            <w:spacing w:line="360" w:lineRule="auto"/>
            <w:rPr>
              <w:rFonts w:ascii="Times New Roman" w:eastAsia="Times New Roman" w:hAnsi="Times New Roman" w:cs="Times New Roman"/>
              <w:color w:val="000000"/>
              <w:sz w:val="26"/>
              <w:szCs w:val="26"/>
            </w:rPr>
          </w:pPr>
          <w:r>
            <w:fldChar w:fldCharType="end"/>
          </w:r>
          <w:hyperlink w:anchor="_heading=h.2et92p0">
            <w:r>
              <w:rPr>
                <w:rFonts w:ascii="Times New Roman" w:eastAsia="Times New Roman" w:hAnsi="Times New Roman" w:cs="Times New Roman"/>
                <w:color w:val="000000"/>
                <w:sz w:val="26"/>
                <w:szCs w:val="26"/>
              </w:rPr>
              <w:t>DISCUSIÓN Y CONCLUSIÓN</w:t>
            </w:r>
          </w:hyperlink>
          <w:r>
            <w:rPr>
              <w:rFonts w:ascii="Times New Roman" w:eastAsia="Times New Roman" w:hAnsi="Times New Roman" w:cs="Times New Roman"/>
              <w:color w:val="000000"/>
              <w:sz w:val="26"/>
              <w:szCs w:val="26"/>
            </w:rPr>
            <w:tab/>
          </w:r>
          <w:r>
            <w:fldChar w:fldCharType="begin"/>
          </w:r>
          <w:r>
            <w:instrText xml:space="preserve"> PAGEREF _heading=h.2et92p0 \h </w:instrText>
          </w:r>
          <w:r>
            <w:fldChar w:fldCharType="separate"/>
          </w:r>
          <w:r>
            <w:rPr>
              <w:rFonts w:ascii="Times New Roman" w:eastAsia="Times New Roman" w:hAnsi="Times New Roman" w:cs="Times New Roman"/>
              <w:b/>
              <w:color w:val="000000"/>
              <w:sz w:val="26"/>
              <w:szCs w:val="26"/>
            </w:rPr>
            <w:t>8</w:t>
          </w:r>
          <w:hyperlink w:anchor="_heading=h.2et92p0" w:history="1"/>
        </w:p>
        <w:p w:rsidR="00D15824" w:rsidRDefault="00591042">
          <w:pPr>
            <w:numPr>
              <w:ilvl w:val="0"/>
              <w:numId w:val="3"/>
            </w:numPr>
            <w:tabs>
              <w:tab w:val="right" w:pos="9025"/>
            </w:tabs>
            <w:spacing w:after="80" w:line="360" w:lineRule="auto"/>
            <w:rPr>
              <w:rFonts w:ascii="Times New Roman" w:eastAsia="Times New Roman" w:hAnsi="Times New Roman" w:cs="Times New Roman"/>
              <w:color w:val="000000"/>
              <w:sz w:val="26"/>
              <w:szCs w:val="26"/>
            </w:rPr>
          </w:pPr>
          <w:r>
            <w:fldChar w:fldCharType="end"/>
          </w:r>
          <w:hyperlink w:anchor="_heading=h.tyjcwt">
            <w:r>
              <w:rPr>
                <w:rFonts w:ascii="Times New Roman" w:eastAsia="Times New Roman" w:hAnsi="Times New Roman" w:cs="Times New Roman"/>
                <w:color w:val="000000"/>
                <w:sz w:val="26"/>
                <w:szCs w:val="26"/>
              </w:rPr>
              <w:t>BIBLIOGRAFÍA</w:t>
            </w:r>
          </w:hyperlink>
          <w:r>
            <w:rPr>
              <w:rFonts w:ascii="Times New Roman" w:eastAsia="Times New Roman" w:hAnsi="Times New Roman" w:cs="Times New Roman"/>
              <w:color w:val="000000"/>
              <w:sz w:val="26"/>
              <w:szCs w:val="26"/>
            </w:rPr>
            <w:tab/>
          </w:r>
          <w:r>
            <w:fldChar w:fldCharType="begin"/>
          </w:r>
          <w:r>
            <w:instrText xml:space="preserve"> PAGEREF _heading=h.tyjcwt \h </w:instrText>
          </w:r>
          <w:r>
            <w:fldChar w:fldCharType="separate"/>
          </w:r>
          <w:r>
            <w:rPr>
              <w:rFonts w:ascii="Times New Roman" w:eastAsia="Times New Roman" w:hAnsi="Times New Roman" w:cs="Times New Roman"/>
              <w:b/>
              <w:color w:val="000000"/>
              <w:sz w:val="26"/>
              <w:szCs w:val="26"/>
            </w:rPr>
            <w:t>11</w:t>
          </w:r>
          <w:r>
            <w:fldChar w:fldCharType="end"/>
          </w:r>
          <w:r>
            <w:fldChar w:fldCharType="end"/>
          </w:r>
        </w:p>
      </w:sdtContent>
    </w:sdt>
    <w:p w:rsidR="00D15824" w:rsidRDefault="00D15824">
      <w:pPr>
        <w:spacing w:line="360" w:lineRule="auto"/>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32"/>
          <w:szCs w:val="32"/>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591042">
      <w:pPr>
        <w:keepNext/>
        <w:keepLines/>
        <w:numPr>
          <w:ilvl w:val="0"/>
          <w:numId w:val="2"/>
        </w:numPr>
        <w:pBdr>
          <w:top w:val="nil"/>
          <w:left w:val="nil"/>
          <w:bottom w:val="nil"/>
          <w:right w:val="nil"/>
          <w:between w:val="nil"/>
        </w:pBdr>
        <w:spacing w:before="400" w:after="120" w:line="360" w:lineRule="auto"/>
        <w:jc w:val="both"/>
        <w:rPr>
          <w:rFonts w:ascii="Times New Roman" w:eastAsia="Times New Roman" w:hAnsi="Times New Roman" w:cs="Times New Roman"/>
          <w:color w:val="000000"/>
          <w:sz w:val="26"/>
          <w:szCs w:val="26"/>
        </w:rPr>
      </w:pPr>
      <w:bookmarkStart w:id="1" w:name="_heading=h.gjdgxs" w:colFirst="0" w:colLast="0"/>
      <w:bookmarkEnd w:id="1"/>
      <w:r>
        <w:rPr>
          <w:rFonts w:ascii="Times New Roman" w:eastAsia="Times New Roman" w:hAnsi="Times New Roman" w:cs="Times New Roman"/>
          <w:b/>
          <w:color w:val="000000"/>
          <w:sz w:val="26"/>
          <w:szCs w:val="26"/>
        </w:rPr>
        <w:lastRenderedPageBreak/>
        <w:t>FUNDAMENTACIÓN TEÓRICA</w:t>
      </w:r>
    </w:p>
    <w:p w:rsidR="00D15824" w:rsidRDefault="00D15824">
      <w:pPr>
        <w:ind w:left="720"/>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 el mundo tiene una percepción de autoeficacia, es decir, todos tenemos nuestra propia creencia sobre la capacidad que poseemos para realizar una acción y/o cumplir un objetivo de manera eficiente (Tripiana y Llorens, 2015). Esta se construye a partir </w:t>
      </w:r>
      <w:r>
        <w:rPr>
          <w:rFonts w:ascii="Times New Roman" w:eastAsia="Times New Roman" w:hAnsi="Times New Roman" w:cs="Times New Roman"/>
          <w:sz w:val="24"/>
          <w:szCs w:val="24"/>
        </w:rPr>
        <w:t>de 4 variables definidas originalmente por Bandura, autor precursor de estas creencias (1986):</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Experiencias directas. A lo largo de la vida, los individuos viven determinadas experiencias de éxito y fracaso que construyen esta creencia de autoeficacia. La</w:t>
      </w:r>
      <w:r>
        <w:rPr>
          <w:rFonts w:ascii="Times New Roman" w:eastAsia="Times New Roman" w:hAnsi="Times New Roman" w:cs="Times New Roman"/>
          <w:sz w:val="24"/>
          <w:szCs w:val="24"/>
        </w:rPr>
        <w:t>s experiencias de éxito la fortalecen, pero las de fracaso las debilitan.</w:t>
      </w:r>
    </w:p>
    <w:p w:rsidR="00D15824" w:rsidRDefault="0059104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Experiencias vicarias o aprendizaje por observación. La observación de experiencias de éxito y fracaso en otros también fortalecen/debilitan la autoeficacia de uno/a mismo/a ya que n</w:t>
      </w:r>
      <w:r>
        <w:rPr>
          <w:rFonts w:ascii="Times New Roman" w:eastAsia="Times New Roman" w:hAnsi="Times New Roman" w:cs="Times New Roman"/>
          <w:sz w:val="24"/>
          <w:szCs w:val="24"/>
        </w:rPr>
        <w:t>os vemos reflejados en el modelo.</w:t>
      </w:r>
    </w:p>
    <w:p w:rsidR="00D15824" w:rsidRDefault="0059104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Persuasión verbal. Cuando alguien nos hace un juicio positivo acerca de nuestras capacidades, este nos fortalece nuestra autoeficacia mientras que si este es negativo, nos debilitará esta creencia.</w:t>
      </w:r>
    </w:p>
    <w:p w:rsidR="00D15824" w:rsidRDefault="0059104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Activación fisiológica. </w:t>
      </w:r>
      <w:r>
        <w:rPr>
          <w:rFonts w:ascii="Times New Roman" w:eastAsia="Times New Roman" w:hAnsi="Times New Roman" w:cs="Times New Roman"/>
          <w:sz w:val="24"/>
          <w:szCs w:val="24"/>
        </w:rPr>
        <w:t>Al contrario que los estados emocionales positivos, los negativos (estrés y ansiedad) disminuyen el desempeño de la persona y, por ende, debilita su autoeficacia.</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la autoeficacia influye en múltiples variables, entre ellas, en la capacidad de lide</w:t>
      </w:r>
      <w:r>
        <w:rPr>
          <w:rFonts w:ascii="Times New Roman" w:eastAsia="Times New Roman" w:hAnsi="Times New Roman" w:cs="Times New Roman"/>
          <w:sz w:val="24"/>
          <w:szCs w:val="24"/>
        </w:rPr>
        <w:t>razgo. No es lo mismo si un/a líder tiene una alta o baja autoeficacia. Pues tal y como apuntan (</w:t>
      </w:r>
      <w:r>
        <w:rPr>
          <w:rFonts w:ascii="Times New Roman" w:eastAsia="Times New Roman" w:hAnsi="Times New Roman" w:cs="Times New Roman"/>
          <w:color w:val="222222"/>
          <w:sz w:val="24"/>
          <w:szCs w:val="24"/>
          <w:highlight w:val="white"/>
        </w:rPr>
        <w:t xml:space="preserve">Ng et al., 2008), </w:t>
      </w:r>
      <w:r>
        <w:rPr>
          <w:rFonts w:ascii="Times New Roman" w:eastAsia="Times New Roman" w:hAnsi="Times New Roman" w:cs="Times New Roman"/>
          <w:sz w:val="24"/>
          <w:szCs w:val="24"/>
        </w:rPr>
        <w:t xml:space="preserve">un/a líder con buena autoeficacia ejercerá un liderazgo sobre sus seguidores más efectivo y viceversa.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al liderazgo, señalar que es clave para el desarrollo de la autoeficacia en el trabajo, el bienestar de los/as trabajadores/as y un mayor rendimiento (Tripiana y Llorens, 2015). Es un proceso y, por tanto, se puede desarrollar mediante el entrena</w:t>
      </w:r>
      <w:r>
        <w:rPr>
          <w:rFonts w:ascii="Times New Roman" w:eastAsia="Times New Roman" w:hAnsi="Times New Roman" w:cs="Times New Roman"/>
          <w:sz w:val="24"/>
          <w:szCs w:val="24"/>
        </w:rPr>
        <w:t xml:space="preserve">miento de acciones conductuales, verbales y cognitivas (Puertas et al., 2020).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Relacionado con el ámbito de los recursos humanos y la empresa, se puede entender que un/a jefe/a, qué cree que tiene una buena capacidad para enfrentarse a cualquier tipo de </w:t>
      </w:r>
      <w:r>
        <w:rPr>
          <w:rFonts w:ascii="Times New Roman" w:eastAsia="Times New Roman" w:hAnsi="Times New Roman" w:cs="Times New Roman"/>
          <w:sz w:val="24"/>
          <w:szCs w:val="24"/>
        </w:rPr>
        <w:t xml:space="preserve">acción y/o </w:t>
      </w:r>
      <w:r>
        <w:rPr>
          <w:rFonts w:ascii="Times New Roman" w:eastAsia="Times New Roman" w:hAnsi="Times New Roman" w:cs="Times New Roman"/>
          <w:sz w:val="24"/>
          <w:szCs w:val="24"/>
        </w:rPr>
        <w:lastRenderedPageBreak/>
        <w:t>problema que se le presente, será capaz de liderar de forma correcta a sus empleados/as. Esto traerá ventajas a la empresa ya que supondrá un mayor desempeño y una mayor satisfacción en esa relación líder-seguidores/as (Paglis, 2010). Esto sería</w:t>
      </w:r>
      <w:r>
        <w:rPr>
          <w:rFonts w:ascii="Times New Roman" w:eastAsia="Times New Roman" w:hAnsi="Times New Roman" w:cs="Times New Roman"/>
          <w:sz w:val="24"/>
          <w:szCs w:val="24"/>
        </w:rPr>
        <w:t xml:space="preserve"> más eficaz si un/a jefe/a adquiriera la posición ya con las habilidades previas de liderazgo adquiridas, pero no es así. La experiencia es algo que se adquiere. Por ello, está a la orden del día conseguir líderes eficaces y efectivos/as. Por consiguiente,</w:t>
      </w:r>
      <w:r>
        <w:rPr>
          <w:rFonts w:ascii="Times New Roman" w:eastAsia="Times New Roman" w:hAnsi="Times New Roman" w:cs="Times New Roman"/>
          <w:sz w:val="24"/>
          <w:szCs w:val="24"/>
        </w:rPr>
        <w:t xml:space="preserve"> las prácticas que fomentan estas habilidades de liderazgo son importantes ya que también permiten desarrollar una buena autoeficacia para liderar, la cuál puede ser considerada uno de los puntos de origen para el éxito de la empresa. </w:t>
      </w:r>
    </w:p>
    <w:p w:rsidR="00D15824" w:rsidRDefault="00591042">
      <w:pPr>
        <w:keepNext/>
        <w:keepLines/>
        <w:numPr>
          <w:ilvl w:val="0"/>
          <w:numId w:val="2"/>
        </w:numPr>
        <w:pBdr>
          <w:top w:val="nil"/>
          <w:left w:val="nil"/>
          <w:bottom w:val="nil"/>
          <w:right w:val="nil"/>
          <w:between w:val="nil"/>
        </w:pBdr>
        <w:spacing w:before="400" w:after="120" w:line="360" w:lineRule="auto"/>
        <w:jc w:val="both"/>
        <w:rPr>
          <w:rFonts w:ascii="Times New Roman" w:eastAsia="Times New Roman" w:hAnsi="Times New Roman" w:cs="Times New Roman"/>
          <w:color w:val="000000"/>
          <w:sz w:val="26"/>
          <w:szCs w:val="26"/>
        </w:rPr>
      </w:pPr>
      <w:bookmarkStart w:id="2" w:name="_heading=h.30j0zll" w:colFirst="0" w:colLast="0"/>
      <w:bookmarkEnd w:id="2"/>
      <w:r>
        <w:rPr>
          <w:rFonts w:ascii="Times New Roman" w:eastAsia="Times New Roman" w:hAnsi="Times New Roman" w:cs="Times New Roman"/>
          <w:b/>
          <w:color w:val="000000"/>
          <w:sz w:val="26"/>
          <w:szCs w:val="26"/>
        </w:rPr>
        <w:t>OBJETIVOS</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En el pre</w:t>
      </w:r>
      <w:r>
        <w:rPr>
          <w:rFonts w:ascii="Times New Roman" w:eastAsia="Times New Roman" w:hAnsi="Times New Roman" w:cs="Times New Roman"/>
          <w:sz w:val="24"/>
          <w:szCs w:val="24"/>
        </w:rPr>
        <w:t xml:space="preserve">sente trabajo, se ha planteado como </w:t>
      </w:r>
      <w:r>
        <w:rPr>
          <w:rFonts w:ascii="Times New Roman" w:eastAsia="Times New Roman" w:hAnsi="Times New Roman" w:cs="Times New Roman"/>
          <w:b/>
          <w:sz w:val="24"/>
          <w:szCs w:val="24"/>
        </w:rPr>
        <w:t xml:space="preserve">objetivo principal </w:t>
      </w:r>
      <w:r>
        <w:rPr>
          <w:rFonts w:ascii="Times New Roman" w:eastAsia="Times New Roman" w:hAnsi="Times New Roman" w:cs="Times New Roman"/>
          <w:sz w:val="24"/>
          <w:szCs w:val="24"/>
        </w:rPr>
        <w:t xml:space="preserve">la revisión de la literatura científica de la autoeficacia para liderar y discutir los hallazgos hasta el momento. </w:t>
      </w:r>
    </w:p>
    <w:p w:rsidR="00D15824" w:rsidRDefault="00591042">
      <w:pPr>
        <w:keepNext/>
        <w:keepLines/>
        <w:numPr>
          <w:ilvl w:val="0"/>
          <w:numId w:val="2"/>
        </w:numPr>
        <w:pBdr>
          <w:top w:val="nil"/>
          <w:left w:val="nil"/>
          <w:bottom w:val="nil"/>
          <w:right w:val="nil"/>
          <w:between w:val="nil"/>
        </w:pBdr>
        <w:spacing w:before="400" w:after="120" w:line="360" w:lineRule="auto"/>
        <w:jc w:val="both"/>
        <w:rPr>
          <w:rFonts w:ascii="Times New Roman" w:eastAsia="Times New Roman" w:hAnsi="Times New Roman" w:cs="Times New Roman"/>
          <w:color w:val="000000"/>
          <w:sz w:val="26"/>
          <w:szCs w:val="26"/>
        </w:rPr>
      </w:pPr>
      <w:bookmarkStart w:id="3" w:name="_heading=h.1fob9te" w:colFirst="0" w:colLast="0"/>
      <w:bookmarkEnd w:id="3"/>
      <w:r>
        <w:rPr>
          <w:rFonts w:ascii="Times New Roman" w:eastAsia="Times New Roman" w:hAnsi="Times New Roman" w:cs="Times New Roman"/>
          <w:b/>
          <w:color w:val="000000"/>
          <w:sz w:val="26"/>
          <w:szCs w:val="26"/>
        </w:rPr>
        <w:t>METODOLOGÍA</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estudio, se llevó a cabo una revisión sistemática de la literatura a través de la metodología PRISMA (Preferred Reporting Items for Systematic Reviews). Esta guía es conocida como un método riguroso, que ofrece una definición clara de la investigac</w:t>
      </w:r>
      <w:r>
        <w:rPr>
          <w:rFonts w:ascii="Times New Roman" w:eastAsia="Times New Roman" w:hAnsi="Times New Roman" w:cs="Times New Roman"/>
          <w:sz w:val="24"/>
          <w:szCs w:val="24"/>
        </w:rPr>
        <w:t xml:space="preserve">ión y unos criterios de inclusión y exclusión teniendo en cuenta muchas bases de datos y un período determinado de tiempo.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concreto, para investigar de manera exhaustiva la relación de la autoeficacia para liderar, se utilizaron las siguientes bases d</w:t>
      </w:r>
      <w:r>
        <w:rPr>
          <w:rFonts w:ascii="Times New Roman" w:eastAsia="Times New Roman" w:hAnsi="Times New Roman" w:cs="Times New Roman"/>
          <w:sz w:val="24"/>
          <w:szCs w:val="24"/>
        </w:rPr>
        <w:t>e datos: IME, PubMed, PsycInfo y Scopus. Se tomaron como palabras clave “autoeficacia”, “liderazgo” y “autoeficacia para liderar''. Aunque no se tuvo ninguna limitación de tiempo, señalar que los artículos seleccionados están dentro del rango del 1998 al 2</w:t>
      </w:r>
      <w:r>
        <w:rPr>
          <w:rFonts w:ascii="Times New Roman" w:eastAsia="Times New Roman" w:hAnsi="Times New Roman" w:cs="Times New Roman"/>
          <w:sz w:val="24"/>
          <w:szCs w:val="24"/>
        </w:rPr>
        <w:t xml:space="preserve">022. No se descartaron aquellos artículos en inglés, pues se incluyeron en ambas lenguas dominantes (tanto en español como en inglés). Como criterio de exclusión, no se contemplaron los trabajos de final de grado, ni aquellos que no eran de libre acceso.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se procedió a examinar de forma completa los 15 artículos que cumplían todos los criterios de esta revisión sistemática.  </w:t>
      </w:r>
    </w:p>
    <w:p w:rsidR="00D15824" w:rsidRDefault="00591042">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Ilustración 1: Metodología PRISMA</w:t>
      </w:r>
    </w:p>
    <w:p w:rsidR="00D15824" w:rsidRDefault="0059104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mc:AlternateContent>
          <mc:Choice Requires="wpg">
            <w:drawing>
              <wp:inline distT="114300" distB="114300" distL="114300" distR="114300">
                <wp:extent cx="5538449" cy="5570998"/>
                <wp:effectExtent l="0" t="0" r="0" b="0"/>
                <wp:docPr id="53" name="Agrupa 53"/>
                <wp:cNvGraphicFramePr/>
                <a:graphic xmlns:a="http://schemas.openxmlformats.org/drawingml/2006/main">
                  <a:graphicData uri="http://schemas.microsoft.com/office/word/2010/wordprocessingGroup">
                    <wpg:wgp>
                      <wpg:cNvGrpSpPr/>
                      <wpg:grpSpPr>
                        <a:xfrm>
                          <a:off x="0" y="0"/>
                          <a:ext cx="5538449" cy="5570998"/>
                          <a:chOff x="2576776" y="994501"/>
                          <a:chExt cx="5538449" cy="5570998"/>
                        </a:xfrm>
                      </wpg:grpSpPr>
                      <wpg:grpSp>
                        <wpg:cNvPr id="1" name="Agrupa 1"/>
                        <wpg:cNvGrpSpPr/>
                        <wpg:grpSpPr>
                          <a:xfrm>
                            <a:off x="2576776" y="994501"/>
                            <a:ext cx="5538449" cy="5570998"/>
                            <a:chOff x="2576776" y="994501"/>
                            <a:chExt cx="5538449" cy="5570998"/>
                          </a:xfrm>
                        </wpg:grpSpPr>
                        <wps:wsp>
                          <wps:cNvPr id="2" name="Rectangle 2"/>
                          <wps:cNvSpPr/>
                          <wps:spPr>
                            <a:xfrm>
                              <a:off x="2576776" y="994501"/>
                              <a:ext cx="5538425" cy="5570975"/>
                            </a:xfrm>
                            <a:prstGeom prst="rect">
                              <a:avLst/>
                            </a:prstGeom>
                            <a:noFill/>
                            <a:ln>
                              <a:noFill/>
                            </a:ln>
                          </wps:spPr>
                          <wps:txbx>
                            <w:txbxContent>
                              <w:p w:rsidR="00D15824" w:rsidRDefault="00D15824">
                                <w:pPr>
                                  <w:spacing w:line="240" w:lineRule="auto"/>
                                  <w:textDirection w:val="btLr"/>
                                </w:pPr>
                              </w:p>
                            </w:txbxContent>
                          </wps:txbx>
                          <wps:bodyPr spcFirstLastPara="1" wrap="square" lIns="91425" tIns="91425" rIns="91425" bIns="91425" anchor="ctr" anchorCtr="0">
                            <a:noAutofit/>
                          </wps:bodyPr>
                        </wps:wsp>
                        <wpg:grpSp>
                          <wpg:cNvPr id="3" name="Agrupa 3"/>
                          <wpg:cNvGrpSpPr/>
                          <wpg:grpSpPr>
                            <a:xfrm>
                              <a:off x="2576776" y="994501"/>
                              <a:ext cx="5538449" cy="5570998"/>
                              <a:chOff x="492300" y="209625"/>
                              <a:chExt cx="5943686" cy="5978881"/>
                            </a:xfrm>
                          </wpg:grpSpPr>
                          <wps:wsp>
                            <wps:cNvPr id="4" name="Rectangle 4"/>
                            <wps:cNvSpPr/>
                            <wps:spPr>
                              <a:xfrm>
                                <a:off x="492300" y="209625"/>
                                <a:ext cx="5943675" cy="5978875"/>
                              </a:xfrm>
                              <a:prstGeom prst="rect">
                                <a:avLst/>
                              </a:prstGeom>
                              <a:noFill/>
                              <a:ln>
                                <a:noFill/>
                              </a:ln>
                            </wps:spPr>
                            <wps:txbx>
                              <w:txbxContent>
                                <w:p w:rsidR="00D15824" w:rsidRDefault="00D15824">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494850" y="423183"/>
                                <a:ext cx="2470947" cy="904988"/>
                              </a:xfrm>
                              <a:prstGeom prst="rect">
                                <a:avLst/>
                              </a:prstGeom>
                              <a:noFill/>
                              <a:ln w="9525" cap="flat" cmpd="sng">
                                <a:solidFill>
                                  <a:srgbClr val="000000"/>
                                </a:solidFill>
                                <a:prstDash val="solid"/>
                                <a:round/>
                                <a:headEnd type="none" w="sm" len="sm"/>
                                <a:tailEnd type="none" w="sm" len="sm"/>
                              </a:ln>
                            </wps:spPr>
                            <wps:txbx>
                              <w:txbxContent>
                                <w:p w:rsidR="00D15824" w:rsidRDefault="00591042">
                                  <w:pPr>
                                    <w:spacing w:line="240" w:lineRule="auto"/>
                                    <w:jc w:val="center"/>
                                    <w:textDirection w:val="btLr"/>
                                  </w:pPr>
                                  <w:r>
                                    <w:rPr>
                                      <w:rFonts w:ascii="Calibri" w:eastAsia="Calibri" w:hAnsi="Calibri" w:cs="Calibri"/>
                                      <w:color w:val="000000"/>
                                      <w:sz w:val="28"/>
                                    </w:rPr>
                                    <w:t>Registros identificados mediante búsqueda en bases de datos (n=11119)</w:t>
                                  </w:r>
                                </w:p>
                              </w:txbxContent>
                            </wps:txbx>
                            <wps:bodyPr spcFirstLastPara="1" wrap="square" lIns="91425" tIns="91425" rIns="91425" bIns="91425" anchor="t" anchorCtr="0">
                              <a:noAutofit/>
                            </wps:bodyPr>
                          </wps:wsp>
                          <wps:wsp>
                            <wps:cNvPr id="6" name="Connector de fletxa recta 6"/>
                            <wps:cNvCnPr/>
                            <wps:spPr>
                              <a:xfrm flipH="1">
                                <a:off x="1725300" y="1254500"/>
                                <a:ext cx="5100" cy="780300"/>
                              </a:xfrm>
                              <a:prstGeom prst="straightConnector1">
                                <a:avLst/>
                              </a:prstGeom>
                              <a:noFill/>
                              <a:ln w="9525" cap="flat" cmpd="sng">
                                <a:solidFill>
                                  <a:srgbClr val="000000"/>
                                </a:solidFill>
                                <a:prstDash val="solid"/>
                                <a:round/>
                                <a:headEnd type="none" w="sm" len="sm"/>
                                <a:tailEnd type="triangle" w="med" len="med"/>
                              </a:ln>
                            </wps:spPr>
                            <wps:bodyPr/>
                          </wps:wsp>
                          <wps:wsp>
                            <wps:cNvPr id="7" name="Rectangle 7"/>
                            <wps:cNvSpPr/>
                            <wps:spPr>
                              <a:xfrm>
                                <a:off x="494850" y="2055626"/>
                                <a:ext cx="2470947" cy="904988"/>
                              </a:xfrm>
                              <a:prstGeom prst="rect">
                                <a:avLst/>
                              </a:prstGeom>
                              <a:noFill/>
                              <a:ln w="9525" cap="flat" cmpd="sng">
                                <a:solidFill>
                                  <a:srgbClr val="000000"/>
                                </a:solidFill>
                                <a:prstDash val="solid"/>
                                <a:round/>
                                <a:headEnd type="none" w="sm" len="sm"/>
                                <a:tailEnd type="none" w="sm" len="sm"/>
                              </a:ln>
                            </wps:spPr>
                            <wps:txbx>
                              <w:txbxContent>
                                <w:p w:rsidR="00D15824" w:rsidRDefault="00591042">
                                  <w:pPr>
                                    <w:spacing w:line="240" w:lineRule="auto"/>
                                    <w:jc w:val="center"/>
                                    <w:textDirection w:val="btLr"/>
                                  </w:pPr>
                                  <w:r>
                                    <w:rPr>
                                      <w:rFonts w:ascii="Calibri" w:eastAsia="Calibri" w:hAnsi="Calibri" w:cs="Calibri"/>
                                      <w:color w:val="000000"/>
                                      <w:sz w:val="28"/>
                                    </w:rPr>
                                    <w:t>Registros después de eliminar los duplicados (n=5644)</w:t>
                                  </w:r>
                                </w:p>
                              </w:txbxContent>
                            </wps:txbx>
                            <wps:bodyPr spcFirstLastPara="1" wrap="square" lIns="91425" tIns="91425" rIns="91425" bIns="91425" anchor="t" anchorCtr="0">
                              <a:noAutofit/>
                            </wps:bodyPr>
                          </wps:wsp>
                          <wps:wsp>
                            <wps:cNvPr id="8" name="Rectangle 8"/>
                            <wps:cNvSpPr/>
                            <wps:spPr>
                              <a:xfrm>
                                <a:off x="492300" y="3598278"/>
                                <a:ext cx="2470947" cy="904988"/>
                              </a:xfrm>
                              <a:prstGeom prst="rect">
                                <a:avLst/>
                              </a:prstGeom>
                              <a:noFill/>
                              <a:ln w="9525" cap="flat" cmpd="sng">
                                <a:solidFill>
                                  <a:srgbClr val="000000"/>
                                </a:solidFill>
                                <a:prstDash val="solid"/>
                                <a:round/>
                                <a:headEnd type="none" w="sm" len="sm"/>
                                <a:tailEnd type="none" w="sm" len="sm"/>
                              </a:ln>
                            </wps:spPr>
                            <wps:txbx>
                              <w:txbxContent>
                                <w:p w:rsidR="00D15824" w:rsidRDefault="00591042">
                                  <w:pPr>
                                    <w:spacing w:line="240" w:lineRule="auto"/>
                                    <w:jc w:val="center"/>
                                    <w:textDirection w:val="btLr"/>
                                  </w:pPr>
                                  <w:r>
                                    <w:rPr>
                                      <w:rFonts w:ascii="Calibri" w:eastAsia="Calibri" w:hAnsi="Calibri" w:cs="Calibri"/>
                                      <w:color w:val="000000"/>
                                      <w:sz w:val="28"/>
                                    </w:rPr>
                                    <w:t>Artículos de texto completos evaluados para la elección (n=24)</w:t>
                                  </w:r>
                                </w:p>
                              </w:txbxContent>
                            </wps:txbx>
                            <wps:bodyPr spcFirstLastPara="1" wrap="square" lIns="91425" tIns="91425" rIns="91425" bIns="91425" anchor="t" anchorCtr="0">
                              <a:noAutofit/>
                            </wps:bodyPr>
                          </wps:wsp>
                          <wps:wsp>
                            <wps:cNvPr id="9" name="Connector de fletxa recta 9"/>
                            <wps:cNvCnPr/>
                            <wps:spPr>
                              <a:xfrm flipH="1">
                                <a:off x="1729200" y="2671375"/>
                                <a:ext cx="2400" cy="927300"/>
                              </a:xfrm>
                              <a:prstGeom prst="straightConnector1">
                                <a:avLst/>
                              </a:prstGeom>
                              <a:noFill/>
                              <a:ln w="9525" cap="flat" cmpd="sng">
                                <a:solidFill>
                                  <a:srgbClr val="000000"/>
                                </a:solidFill>
                                <a:prstDash val="solid"/>
                                <a:round/>
                                <a:headEnd type="none" w="sm" len="sm"/>
                                <a:tailEnd type="triangle" w="med" len="med"/>
                              </a:ln>
                            </wps:spPr>
                            <wps:bodyPr/>
                          </wps:wsp>
                          <wps:wsp>
                            <wps:cNvPr id="10" name="Connector de fletxa recta 10"/>
                            <wps:cNvCnPr/>
                            <wps:spPr>
                              <a:xfrm>
                                <a:off x="1730400" y="4429850"/>
                                <a:ext cx="0" cy="864300"/>
                              </a:xfrm>
                              <a:prstGeom prst="straightConnector1">
                                <a:avLst/>
                              </a:prstGeom>
                              <a:noFill/>
                              <a:ln w="9525" cap="flat" cmpd="sng">
                                <a:solidFill>
                                  <a:srgbClr val="000000"/>
                                </a:solidFill>
                                <a:prstDash val="solid"/>
                                <a:round/>
                                <a:headEnd type="none" w="sm" len="sm"/>
                                <a:tailEnd type="triangle" w="med" len="med"/>
                              </a:ln>
                            </wps:spPr>
                            <wps:bodyPr/>
                          </wps:wsp>
                          <wps:wsp>
                            <wps:cNvPr id="11" name="Rectangle 11"/>
                            <wps:cNvSpPr/>
                            <wps:spPr>
                              <a:xfrm>
                                <a:off x="492300" y="5293740"/>
                                <a:ext cx="2470947" cy="672599"/>
                              </a:xfrm>
                              <a:prstGeom prst="rect">
                                <a:avLst/>
                              </a:prstGeom>
                              <a:noFill/>
                              <a:ln w="9525" cap="flat" cmpd="sng">
                                <a:solidFill>
                                  <a:srgbClr val="000000"/>
                                </a:solidFill>
                                <a:prstDash val="solid"/>
                                <a:round/>
                                <a:headEnd type="none" w="sm" len="sm"/>
                                <a:tailEnd type="none" w="sm" len="sm"/>
                              </a:ln>
                            </wps:spPr>
                            <wps:txbx>
                              <w:txbxContent>
                                <w:p w:rsidR="00D15824" w:rsidRDefault="00591042">
                                  <w:pPr>
                                    <w:spacing w:line="240" w:lineRule="auto"/>
                                    <w:jc w:val="center"/>
                                    <w:textDirection w:val="btLr"/>
                                  </w:pPr>
                                  <w:r>
                                    <w:rPr>
                                      <w:rFonts w:ascii="Calibri" w:eastAsia="Calibri" w:hAnsi="Calibri" w:cs="Calibri"/>
                                      <w:color w:val="000000"/>
                                      <w:sz w:val="28"/>
                                    </w:rPr>
                                    <w:t>Estudios incluidos en la revisión sistemática (n=15)</w:t>
                                  </w:r>
                                </w:p>
                              </w:txbxContent>
                            </wps:txbx>
                            <wps:bodyPr spcFirstLastPara="1" wrap="square" lIns="91425" tIns="91425" rIns="91425" bIns="91425" anchor="t" anchorCtr="0">
                              <a:noAutofit/>
                            </wps:bodyPr>
                          </wps:wsp>
                          <wps:wsp>
                            <wps:cNvPr id="12" name="Connector de fletxa recta 12"/>
                            <wps:cNvCnPr/>
                            <wps:spPr>
                              <a:xfrm rot="10800000" flipH="1">
                                <a:off x="1731600" y="4828125"/>
                                <a:ext cx="2142600" cy="9600"/>
                              </a:xfrm>
                              <a:prstGeom prst="straightConnector1">
                                <a:avLst/>
                              </a:prstGeom>
                              <a:noFill/>
                              <a:ln w="9525" cap="flat" cmpd="sng">
                                <a:solidFill>
                                  <a:srgbClr val="000000"/>
                                </a:solidFill>
                                <a:prstDash val="solid"/>
                                <a:round/>
                                <a:headEnd type="none" w="sm" len="sm"/>
                                <a:tailEnd type="triangle" w="med" len="med"/>
                              </a:ln>
                            </wps:spPr>
                            <wps:bodyPr/>
                          </wps:wsp>
                          <wps:wsp>
                            <wps:cNvPr id="13" name="Rectangle 13"/>
                            <wps:cNvSpPr/>
                            <wps:spPr>
                              <a:xfrm>
                                <a:off x="3916304" y="4524777"/>
                                <a:ext cx="2470947" cy="672599"/>
                              </a:xfrm>
                              <a:prstGeom prst="rect">
                                <a:avLst/>
                              </a:prstGeom>
                              <a:noFill/>
                              <a:ln w="9525" cap="flat" cmpd="sng">
                                <a:solidFill>
                                  <a:srgbClr val="000000"/>
                                </a:solidFill>
                                <a:prstDash val="solid"/>
                                <a:round/>
                                <a:headEnd type="none" w="sm" len="sm"/>
                                <a:tailEnd type="none" w="sm" len="sm"/>
                              </a:ln>
                            </wps:spPr>
                            <wps:txbx>
                              <w:txbxContent>
                                <w:p w:rsidR="00D15824" w:rsidRDefault="00591042">
                                  <w:pPr>
                                    <w:spacing w:line="240" w:lineRule="auto"/>
                                    <w:jc w:val="center"/>
                                    <w:textDirection w:val="btLr"/>
                                  </w:pPr>
                                  <w:r>
                                    <w:rPr>
                                      <w:rFonts w:ascii="Calibri" w:eastAsia="Calibri" w:hAnsi="Calibri" w:cs="Calibri"/>
                                      <w:color w:val="000000"/>
                                      <w:sz w:val="28"/>
                                    </w:rPr>
                                    <w:t>Artículos completos excluidos (n=9)</w:t>
                                  </w:r>
                                </w:p>
                              </w:txbxContent>
                            </wps:txbx>
                            <wps:bodyPr spcFirstLastPara="1" wrap="square" lIns="91425" tIns="91425" rIns="91425" bIns="91425" anchor="t" anchorCtr="0">
                              <a:noAutofit/>
                            </wps:bodyPr>
                          </wps:wsp>
                          <wps:wsp>
                            <wps:cNvPr id="14" name="Connector de fletxa recta 14"/>
                            <wps:cNvCnPr/>
                            <wps:spPr>
                              <a:xfrm rot="10800000" flipH="1">
                                <a:off x="1725300" y="3130163"/>
                                <a:ext cx="2142600" cy="9600"/>
                              </a:xfrm>
                              <a:prstGeom prst="straightConnector1">
                                <a:avLst/>
                              </a:prstGeom>
                              <a:noFill/>
                              <a:ln w="9525" cap="flat" cmpd="sng">
                                <a:solidFill>
                                  <a:srgbClr val="000000"/>
                                </a:solidFill>
                                <a:prstDash val="solid"/>
                                <a:round/>
                                <a:headEnd type="none" w="sm" len="sm"/>
                                <a:tailEnd type="triangle" w="med" len="med"/>
                              </a:ln>
                            </wps:spPr>
                            <wps:bodyPr/>
                          </wps:wsp>
                          <wps:wsp>
                            <wps:cNvPr id="15" name="Rectangle 15"/>
                            <wps:cNvSpPr/>
                            <wps:spPr>
                              <a:xfrm>
                                <a:off x="3916304" y="2826964"/>
                                <a:ext cx="2470947" cy="672599"/>
                              </a:xfrm>
                              <a:prstGeom prst="rect">
                                <a:avLst/>
                              </a:prstGeom>
                              <a:noFill/>
                              <a:ln w="9525" cap="flat" cmpd="sng">
                                <a:solidFill>
                                  <a:srgbClr val="000000"/>
                                </a:solidFill>
                                <a:prstDash val="solid"/>
                                <a:round/>
                                <a:headEnd type="none" w="sm" len="sm"/>
                                <a:tailEnd type="none" w="sm" len="sm"/>
                              </a:ln>
                            </wps:spPr>
                            <wps:txbx>
                              <w:txbxContent>
                                <w:p w:rsidR="00D15824" w:rsidRDefault="00591042">
                                  <w:pPr>
                                    <w:spacing w:line="240" w:lineRule="auto"/>
                                    <w:jc w:val="center"/>
                                    <w:textDirection w:val="btLr"/>
                                  </w:pPr>
                                  <w:r>
                                    <w:rPr>
                                      <w:rFonts w:ascii="Calibri" w:eastAsia="Calibri" w:hAnsi="Calibri" w:cs="Calibri"/>
                                      <w:color w:val="000000"/>
                                      <w:sz w:val="28"/>
                                    </w:rPr>
                                    <w:t>Registros excluidos por no estar disponibles (n=5451)</w:t>
                                  </w:r>
                                </w:p>
                              </w:txbxContent>
                            </wps:txbx>
                            <wps:bodyPr spcFirstLastPara="1" wrap="square" lIns="91425" tIns="91425" rIns="91425" bIns="91425" anchor="t" anchorCtr="0">
                              <a:noAutofit/>
                            </wps:bodyPr>
                          </wps:wsp>
                          <wps:wsp>
                            <wps:cNvPr id="16" name="Oval 16"/>
                            <wps:cNvSpPr/>
                            <wps:spPr>
                              <a:xfrm>
                                <a:off x="5391300" y="227925"/>
                                <a:ext cx="996300" cy="517500"/>
                              </a:xfrm>
                              <a:prstGeom prst="ellipse">
                                <a:avLst/>
                              </a:prstGeom>
                              <a:solidFill>
                                <a:srgbClr val="F3F3F3"/>
                              </a:solidFill>
                              <a:ln w="9525" cap="flat" cmpd="sng">
                                <a:solidFill>
                                  <a:srgbClr val="000000"/>
                                </a:solidFill>
                                <a:prstDash val="solid"/>
                                <a:round/>
                                <a:headEnd type="none" w="sm" len="sm"/>
                                <a:tailEnd type="none" w="sm" len="sm"/>
                              </a:ln>
                            </wps:spPr>
                            <wps:txbx>
                              <w:txbxContent>
                                <w:p w:rsidR="00D15824" w:rsidRDefault="00D15824">
                                  <w:pPr>
                                    <w:spacing w:line="240" w:lineRule="auto"/>
                                    <w:textDirection w:val="btLr"/>
                                  </w:pPr>
                                </w:p>
                              </w:txbxContent>
                            </wps:txbx>
                            <wps:bodyPr spcFirstLastPara="1" wrap="square" lIns="91425" tIns="91425" rIns="91425" bIns="91425" anchor="ctr" anchorCtr="0">
                              <a:noAutofit/>
                            </wps:bodyPr>
                          </wps:wsp>
                          <wps:wsp>
                            <wps:cNvPr id="17" name="Rectangle 17"/>
                            <wps:cNvSpPr/>
                            <wps:spPr>
                              <a:xfrm>
                                <a:off x="5391019" y="209625"/>
                                <a:ext cx="995583" cy="595592"/>
                              </a:xfrm>
                              <a:prstGeom prst="rect">
                                <a:avLst/>
                              </a:prstGeom>
                              <a:noFill/>
                              <a:ln>
                                <a:noFill/>
                              </a:ln>
                            </wps:spPr>
                            <wps:txbx>
                              <w:txbxContent>
                                <w:p w:rsidR="00D15824" w:rsidRDefault="00591042">
                                  <w:pPr>
                                    <w:spacing w:line="240" w:lineRule="auto"/>
                                    <w:jc w:val="center"/>
                                    <w:textDirection w:val="btLr"/>
                                  </w:pPr>
                                  <w:r>
                                    <w:rPr>
                                      <w:rFonts w:ascii="Calibri" w:eastAsia="Calibri" w:hAnsi="Calibri" w:cs="Calibri"/>
                                      <w:color w:val="000000"/>
                                      <w:sz w:val="24"/>
                                    </w:rPr>
                                    <w:t>PubMed (n=3)</w:t>
                                  </w:r>
                                </w:p>
                              </w:txbxContent>
                            </wps:txbx>
                            <wps:bodyPr spcFirstLastPara="1" wrap="square" lIns="91425" tIns="91425" rIns="91425" bIns="91425" anchor="t" anchorCtr="0">
                              <a:noAutofit/>
                            </wps:bodyPr>
                          </wps:wsp>
                          <wps:wsp>
                            <wps:cNvPr id="18" name="Oval 18"/>
                            <wps:cNvSpPr/>
                            <wps:spPr>
                              <a:xfrm>
                                <a:off x="5391300" y="678863"/>
                                <a:ext cx="996300" cy="517500"/>
                              </a:xfrm>
                              <a:prstGeom prst="ellipse">
                                <a:avLst/>
                              </a:prstGeom>
                              <a:solidFill>
                                <a:srgbClr val="F3F3F3"/>
                              </a:solidFill>
                              <a:ln w="9525" cap="flat" cmpd="sng">
                                <a:solidFill>
                                  <a:srgbClr val="000000"/>
                                </a:solidFill>
                                <a:prstDash val="solid"/>
                                <a:round/>
                                <a:headEnd type="none" w="sm" len="sm"/>
                                <a:tailEnd type="none" w="sm" len="sm"/>
                              </a:ln>
                            </wps:spPr>
                            <wps:txbx>
                              <w:txbxContent>
                                <w:p w:rsidR="00D15824" w:rsidRDefault="00D15824">
                                  <w:pPr>
                                    <w:spacing w:line="240" w:lineRule="auto"/>
                                    <w:textDirection w:val="btLr"/>
                                  </w:pPr>
                                </w:p>
                              </w:txbxContent>
                            </wps:txbx>
                            <wps:bodyPr spcFirstLastPara="1" wrap="square" lIns="91425" tIns="91425" rIns="91425" bIns="91425" anchor="ctr" anchorCtr="0">
                              <a:noAutofit/>
                            </wps:bodyPr>
                          </wps:wsp>
                          <wps:wsp>
                            <wps:cNvPr id="19" name="Rectangle 19"/>
                            <wps:cNvSpPr/>
                            <wps:spPr>
                              <a:xfrm>
                                <a:off x="5430167" y="660539"/>
                                <a:ext cx="917897" cy="595592"/>
                              </a:xfrm>
                              <a:prstGeom prst="rect">
                                <a:avLst/>
                              </a:prstGeom>
                              <a:noFill/>
                              <a:ln>
                                <a:noFill/>
                              </a:ln>
                            </wps:spPr>
                            <wps:txbx>
                              <w:txbxContent>
                                <w:p w:rsidR="00D15824" w:rsidRDefault="00591042">
                                  <w:pPr>
                                    <w:spacing w:line="240" w:lineRule="auto"/>
                                    <w:jc w:val="center"/>
                                    <w:textDirection w:val="btLr"/>
                                  </w:pPr>
                                  <w:r>
                                    <w:rPr>
                                      <w:rFonts w:ascii="Calibri" w:eastAsia="Calibri" w:hAnsi="Calibri" w:cs="Calibri"/>
                                      <w:color w:val="000000"/>
                                      <w:sz w:val="24"/>
                                    </w:rPr>
                                    <w:t>PsycInfo</w:t>
                                  </w:r>
                                </w:p>
                                <w:p w:rsidR="00D15824" w:rsidRDefault="00591042">
                                  <w:pPr>
                                    <w:spacing w:line="240" w:lineRule="auto"/>
                                    <w:jc w:val="center"/>
                                    <w:textDirection w:val="btLr"/>
                                  </w:pPr>
                                  <w:r>
                                    <w:rPr>
                                      <w:rFonts w:ascii="Calibri" w:eastAsia="Calibri" w:hAnsi="Calibri" w:cs="Calibri"/>
                                      <w:color w:val="000000"/>
                                      <w:sz w:val="24"/>
                                    </w:rPr>
                                    <w:t>(n=8)</w:t>
                                  </w:r>
                                </w:p>
                              </w:txbxContent>
                            </wps:txbx>
                            <wps:bodyPr spcFirstLastPara="1" wrap="square" lIns="91425" tIns="91425" rIns="91425" bIns="91425" anchor="t" anchorCtr="0">
                              <a:noAutofit/>
                            </wps:bodyPr>
                          </wps:wsp>
                          <wps:wsp>
                            <wps:cNvPr id="20" name="Oval 20"/>
                            <wps:cNvSpPr/>
                            <wps:spPr>
                              <a:xfrm>
                                <a:off x="5391300" y="1118225"/>
                                <a:ext cx="996300" cy="517500"/>
                              </a:xfrm>
                              <a:prstGeom prst="ellipse">
                                <a:avLst/>
                              </a:prstGeom>
                              <a:solidFill>
                                <a:srgbClr val="F3F3F3"/>
                              </a:solidFill>
                              <a:ln w="9525" cap="flat" cmpd="sng">
                                <a:solidFill>
                                  <a:srgbClr val="000000"/>
                                </a:solidFill>
                                <a:prstDash val="solid"/>
                                <a:round/>
                                <a:headEnd type="none" w="sm" len="sm"/>
                                <a:tailEnd type="none" w="sm" len="sm"/>
                              </a:ln>
                            </wps:spPr>
                            <wps:txbx>
                              <w:txbxContent>
                                <w:p w:rsidR="00D15824" w:rsidRDefault="00D15824">
                                  <w:pPr>
                                    <w:spacing w:line="240" w:lineRule="auto"/>
                                    <w:textDirection w:val="btLr"/>
                                  </w:pPr>
                                </w:p>
                              </w:txbxContent>
                            </wps:txbx>
                            <wps:bodyPr spcFirstLastPara="1" wrap="square" lIns="91425" tIns="91425" rIns="91425" bIns="91425" anchor="ctr" anchorCtr="0">
                              <a:noAutofit/>
                            </wps:bodyPr>
                          </wps:wsp>
                          <wps:wsp>
                            <wps:cNvPr id="21" name="Rectangle 21"/>
                            <wps:cNvSpPr/>
                            <wps:spPr>
                              <a:xfrm>
                                <a:off x="5430167" y="1099853"/>
                                <a:ext cx="917897" cy="595592"/>
                              </a:xfrm>
                              <a:prstGeom prst="rect">
                                <a:avLst/>
                              </a:prstGeom>
                              <a:noFill/>
                              <a:ln>
                                <a:noFill/>
                              </a:ln>
                            </wps:spPr>
                            <wps:txbx>
                              <w:txbxContent>
                                <w:p w:rsidR="00D15824" w:rsidRDefault="00591042">
                                  <w:pPr>
                                    <w:spacing w:line="240" w:lineRule="auto"/>
                                    <w:jc w:val="center"/>
                                    <w:textDirection w:val="btLr"/>
                                  </w:pPr>
                                  <w:r>
                                    <w:rPr>
                                      <w:rFonts w:ascii="Calibri" w:eastAsia="Calibri" w:hAnsi="Calibri" w:cs="Calibri"/>
                                      <w:color w:val="000000"/>
                                      <w:sz w:val="24"/>
                                    </w:rPr>
                                    <w:t>Scopus</w:t>
                                  </w:r>
                                </w:p>
                                <w:p w:rsidR="00D15824" w:rsidRDefault="00591042">
                                  <w:pPr>
                                    <w:spacing w:line="240" w:lineRule="auto"/>
                                    <w:jc w:val="center"/>
                                    <w:textDirection w:val="btLr"/>
                                  </w:pPr>
                                  <w:r>
                                    <w:rPr>
                                      <w:rFonts w:ascii="Calibri" w:eastAsia="Calibri" w:hAnsi="Calibri" w:cs="Calibri"/>
                                      <w:color w:val="000000"/>
                                      <w:sz w:val="24"/>
                                    </w:rPr>
                                    <w:t>(n=2)</w:t>
                                  </w:r>
                                </w:p>
                              </w:txbxContent>
                            </wps:txbx>
                            <wps:bodyPr spcFirstLastPara="1" wrap="square" lIns="91425" tIns="91425" rIns="91425" bIns="91425" anchor="t" anchorCtr="0">
                              <a:noAutofit/>
                            </wps:bodyPr>
                          </wps:wsp>
                          <wps:wsp>
                            <wps:cNvPr id="22" name="Oval 22"/>
                            <wps:cNvSpPr/>
                            <wps:spPr>
                              <a:xfrm>
                                <a:off x="5391300" y="1591000"/>
                                <a:ext cx="996300" cy="517500"/>
                              </a:xfrm>
                              <a:prstGeom prst="ellipse">
                                <a:avLst/>
                              </a:prstGeom>
                              <a:solidFill>
                                <a:srgbClr val="F3F3F3"/>
                              </a:solidFill>
                              <a:ln w="9525" cap="flat" cmpd="sng">
                                <a:solidFill>
                                  <a:srgbClr val="000000"/>
                                </a:solidFill>
                                <a:prstDash val="solid"/>
                                <a:round/>
                                <a:headEnd type="none" w="sm" len="sm"/>
                                <a:tailEnd type="none" w="sm" len="sm"/>
                              </a:ln>
                            </wps:spPr>
                            <wps:txbx>
                              <w:txbxContent>
                                <w:p w:rsidR="00D15824" w:rsidRDefault="00D15824">
                                  <w:pPr>
                                    <w:spacing w:line="240" w:lineRule="auto"/>
                                    <w:textDirection w:val="btLr"/>
                                  </w:pPr>
                                </w:p>
                              </w:txbxContent>
                            </wps:txbx>
                            <wps:bodyPr spcFirstLastPara="1" wrap="square" lIns="91425" tIns="91425" rIns="91425" bIns="91425" anchor="ctr" anchorCtr="0">
                              <a:noAutofit/>
                            </wps:bodyPr>
                          </wps:wsp>
                          <wps:wsp>
                            <wps:cNvPr id="23" name="Rectangle 23"/>
                            <wps:cNvSpPr/>
                            <wps:spPr>
                              <a:xfrm>
                                <a:off x="5342272" y="1572590"/>
                                <a:ext cx="1093714" cy="595592"/>
                              </a:xfrm>
                              <a:prstGeom prst="rect">
                                <a:avLst/>
                              </a:prstGeom>
                              <a:noFill/>
                              <a:ln>
                                <a:noFill/>
                              </a:ln>
                            </wps:spPr>
                            <wps:txbx>
                              <w:txbxContent>
                                <w:p w:rsidR="00D15824" w:rsidRDefault="00591042">
                                  <w:pPr>
                                    <w:spacing w:line="240" w:lineRule="auto"/>
                                    <w:jc w:val="center"/>
                                    <w:textDirection w:val="btLr"/>
                                  </w:pPr>
                                  <w:r>
                                    <w:rPr>
                                      <w:rFonts w:ascii="Calibri" w:eastAsia="Calibri" w:hAnsi="Calibri" w:cs="Calibri"/>
                                      <w:color w:val="000000"/>
                                      <w:sz w:val="24"/>
                                    </w:rPr>
                                    <w:t>IME</w:t>
                                  </w:r>
                                </w:p>
                                <w:p w:rsidR="00D15824" w:rsidRDefault="00591042">
                                  <w:pPr>
                                    <w:spacing w:line="240" w:lineRule="auto"/>
                                    <w:jc w:val="center"/>
                                    <w:textDirection w:val="btLr"/>
                                  </w:pPr>
                                  <w:r>
                                    <w:rPr>
                                      <w:rFonts w:ascii="Calibri" w:eastAsia="Calibri" w:hAnsi="Calibri" w:cs="Calibri"/>
                                      <w:color w:val="000000"/>
                                      <w:sz w:val="24"/>
                                    </w:rPr>
                                    <w:t>(n=2)</w:t>
                                  </w:r>
                                </w:p>
                              </w:txbxContent>
                            </wps:txbx>
                            <wps:bodyPr spcFirstLastPara="1" wrap="square" lIns="91425" tIns="91425" rIns="91425" bIns="91425" anchor="t" anchorCtr="0">
                              <a:noAutofit/>
                            </wps:bodyPr>
                          </wps:wsp>
                          <wps:wsp>
                            <wps:cNvPr id="24" name="Rectangle 24"/>
                            <wps:cNvSpPr/>
                            <wps:spPr>
                              <a:xfrm>
                                <a:off x="3916120" y="5293740"/>
                                <a:ext cx="2470948" cy="894766"/>
                              </a:xfrm>
                              <a:prstGeom prst="rect">
                                <a:avLst/>
                              </a:prstGeom>
                              <a:noFill/>
                              <a:ln>
                                <a:noFill/>
                              </a:ln>
                            </wps:spPr>
                            <wps:txbx>
                              <w:txbxContent>
                                <w:p w:rsidR="00D15824" w:rsidRDefault="00591042">
                                  <w:pPr>
                                    <w:spacing w:line="240" w:lineRule="auto"/>
                                    <w:jc w:val="center"/>
                                    <w:textDirection w:val="btLr"/>
                                  </w:pPr>
                                  <w:r>
                                    <w:rPr>
                                      <w:rFonts w:ascii="Calibri" w:eastAsia="Calibri" w:hAnsi="Calibri" w:cs="Calibri"/>
                                      <w:b/>
                                      <w:color w:val="000000"/>
                                      <w:sz w:val="28"/>
                                    </w:rPr>
                                    <w:t xml:space="preserve">Criterios de exclusión: </w:t>
                                  </w:r>
                                  <w:r>
                                    <w:rPr>
                                      <w:rFonts w:ascii="Calibri" w:eastAsia="Calibri" w:hAnsi="Calibri" w:cs="Calibri"/>
                                      <w:color w:val="000000"/>
                                      <w:sz w:val="28"/>
                                    </w:rPr>
                                    <w:t xml:space="preserve">No trabajos de final de grado, ni estudios de antes del 1998. </w:t>
                                  </w:r>
                                </w:p>
                              </w:txbxContent>
                            </wps:txbx>
                            <wps:bodyPr spcFirstLastPara="1" wrap="square" lIns="91425" tIns="91425" rIns="91425" bIns="91425" anchor="t"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538449" cy="5570998"/>
                <wp:effectExtent b="0" l="0" r="0" t="0"/>
                <wp:docPr id="5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538449" cy="5570998"/>
                        </a:xfrm>
                        <a:prstGeom prst="rect"/>
                        <a:ln/>
                      </pic:spPr>
                    </pic:pic>
                  </a:graphicData>
                </a:graphic>
              </wp:inline>
            </w:drawing>
          </mc:Fallback>
        </mc:AlternateContent>
      </w:r>
    </w:p>
    <w:p w:rsidR="00D15824" w:rsidRDefault="00591042">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Fuente: Iris Sáez (2022) </w:t>
      </w:r>
    </w:p>
    <w:p w:rsidR="00D15824" w:rsidRDefault="00591042">
      <w:pPr>
        <w:keepNext/>
        <w:keepLines/>
        <w:numPr>
          <w:ilvl w:val="0"/>
          <w:numId w:val="2"/>
        </w:numPr>
        <w:pBdr>
          <w:top w:val="nil"/>
          <w:left w:val="nil"/>
          <w:bottom w:val="nil"/>
          <w:right w:val="nil"/>
          <w:between w:val="nil"/>
        </w:pBdr>
        <w:spacing w:before="400" w:after="120" w:line="360" w:lineRule="auto"/>
        <w:jc w:val="both"/>
        <w:rPr>
          <w:rFonts w:ascii="Times New Roman" w:eastAsia="Times New Roman" w:hAnsi="Times New Roman" w:cs="Times New Roman"/>
          <w:color w:val="000000"/>
          <w:sz w:val="26"/>
          <w:szCs w:val="26"/>
        </w:rPr>
      </w:pPr>
      <w:bookmarkStart w:id="4" w:name="_heading=h.3znysh7" w:colFirst="0" w:colLast="0"/>
      <w:bookmarkEnd w:id="4"/>
      <w:r>
        <w:rPr>
          <w:rFonts w:ascii="Times New Roman" w:eastAsia="Times New Roman" w:hAnsi="Times New Roman" w:cs="Times New Roman"/>
          <w:b/>
          <w:color w:val="000000"/>
          <w:sz w:val="26"/>
          <w:szCs w:val="26"/>
        </w:rPr>
        <w:t>RESULTADOS</w:t>
      </w:r>
    </w:p>
    <w:p w:rsidR="00D15824" w:rsidRDefault="00D15824">
      <w:pPr>
        <w:spacing w:line="360" w:lineRule="auto"/>
        <w:jc w:val="both"/>
        <w:rPr>
          <w:rFonts w:ascii="Times New Roman" w:eastAsia="Times New Roman" w:hAnsi="Times New Roman" w:cs="Times New Roman"/>
          <w:b/>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cuánto a los resultados de la revisión sistemática, se observan dos taxonomías (Anderson et al., 2008). Una de ellas, es la de autoeficacia para liderar y la otra la eficacia de liderazgo. La primera, representa una forma en la que los/as gerentes conce</w:t>
      </w:r>
      <w:r>
        <w:rPr>
          <w:rFonts w:ascii="Times New Roman" w:eastAsia="Times New Roman" w:hAnsi="Times New Roman" w:cs="Times New Roman"/>
          <w:sz w:val="24"/>
          <w:szCs w:val="24"/>
        </w:rPr>
        <w:t xml:space="preserve">ptualizan sus creencias sobre su capacidad para actuar de forma eficiente. Y la segunda, representa las habilidades de liderazgo necesarias para su efectividad. Ambas están compuestas por diferentes dimensiones, en </w:t>
      </w:r>
      <w:r>
        <w:rPr>
          <w:rFonts w:ascii="Times New Roman" w:eastAsia="Times New Roman" w:hAnsi="Times New Roman" w:cs="Times New Roman"/>
          <w:sz w:val="24"/>
          <w:szCs w:val="24"/>
        </w:rPr>
        <w:lastRenderedPageBreak/>
        <w:t>concreto 18 para la autoeficacia para lid</w:t>
      </w:r>
      <w:r>
        <w:rPr>
          <w:rFonts w:ascii="Times New Roman" w:eastAsia="Times New Roman" w:hAnsi="Times New Roman" w:cs="Times New Roman"/>
          <w:sz w:val="24"/>
          <w:szCs w:val="24"/>
        </w:rPr>
        <w:t>erar y 9 para la eficacia de liderazgo. Estas dos estructuras taxonómicas se encuentran interrelacionadas. De modo que cada una de las dimensiones de autoeficacia se relaciona con una dimensión de eficacia de liderazgo, siendo esta relación lo que da lugar</w:t>
      </w:r>
      <w:r>
        <w:rPr>
          <w:rFonts w:ascii="Times New Roman" w:eastAsia="Times New Roman" w:hAnsi="Times New Roman" w:cs="Times New Roman"/>
          <w:sz w:val="24"/>
          <w:szCs w:val="24"/>
        </w:rPr>
        <w:t xml:space="preserve"> a las competencias de trabajo. </w:t>
      </w:r>
    </w:p>
    <w:p w:rsidR="00D15824" w:rsidRDefault="00D15824">
      <w:pPr>
        <w:spacing w:line="360" w:lineRule="auto"/>
        <w:rPr>
          <w:rFonts w:ascii="Times New Roman" w:eastAsia="Times New Roman" w:hAnsi="Times New Roman" w:cs="Times New Roman"/>
          <w:b/>
          <w:color w:val="FF0000"/>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base teórica de la Teoría Social Cognitiva de Bandura, se considera la autoeficacia para liderar una variable reguladora (</w:t>
      </w:r>
      <w:r>
        <w:rPr>
          <w:rFonts w:ascii="Times New Roman" w:eastAsia="Times New Roman" w:hAnsi="Times New Roman" w:cs="Times New Roman"/>
          <w:color w:val="222222"/>
          <w:sz w:val="24"/>
          <w:szCs w:val="24"/>
        </w:rPr>
        <w:t>McCormick, 2001</w:t>
      </w:r>
      <w:r>
        <w:rPr>
          <w:rFonts w:ascii="Times New Roman" w:eastAsia="Times New Roman" w:hAnsi="Times New Roman" w:cs="Times New Roman"/>
          <w:sz w:val="24"/>
          <w:szCs w:val="24"/>
        </w:rPr>
        <w:t xml:space="preserve">). La idea central de esta teoría es que los individuos puedan autorregular </w:t>
      </w:r>
      <w:r>
        <w:rPr>
          <w:rFonts w:ascii="Times New Roman" w:eastAsia="Times New Roman" w:hAnsi="Times New Roman" w:cs="Times New Roman"/>
          <w:sz w:val="24"/>
          <w:szCs w:val="24"/>
        </w:rPr>
        <w:t>sus pensamientos, motivaciones y comportamientos. A su vez, la autoeficacia se ve afectada por dos mecanismos mediadores: motivación individual y desarrollo de estrategia de la tarea. Dependiendo de las creencias de autoeficacia, esta regulación será menor</w:t>
      </w:r>
      <w:r>
        <w:rPr>
          <w:rFonts w:ascii="Times New Roman" w:eastAsia="Times New Roman" w:hAnsi="Times New Roman" w:cs="Times New Roman"/>
          <w:sz w:val="24"/>
          <w:szCs w:val="24"/>
        </w:rPr>
        <w:t xml:space="preserve"> o mayor.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misma manera, en el estudio de Salanova, Grau y Martínez (2006) también trabajó con la autoeficacia como variable reguladora se observa que los individuos con mayor autoeficacia tendrán un comportamiento de afrontamiento más activo (un afrontamiento </w:t>
      </w:r>
      <w:r>
        <w:rPr>
          <w:rFonts w:ascii="Times New Roman" w:eastAsia="Times New Roman" w:hAnsi="Times New Roman" w:cs="Times New Roman"/>
          <w:sz w:val="24"/>
          <w:szCs w:val="24"/>
        </w:rPr>
        <w:t xml:space="preserve">orientado al problema). En cambio, los individuos con menor autoeficacia tendrán un comportamiento de afrontamiento más pasivo (un afrontamiento orientado a la emoción). También se encuentra un mayor uso de estrategias de afrontamiento activo en hombres y </w:t>
      </w:r>
      <w:r>
        <w:rPr>
          <w:rFonts w:ascii="Times New Roman" w:eastAsia="Times New Roman" w:hAnsi="Times New Roman" w:cs="Times New Roman"/>
          <w:sz w:val="24"/>
          <w:szCs w:val="24"/>
        </w:rPr>
        <w:t xml:space="preserve">en individuos más mayores.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Relacionando el liderazgo de apoyo y la autoeficacia de los/as empleados/as, se encuentra el modelo RED (Modelo de Recursos Experiencias y Demandas) (Tripiana y Llorens, 2015), que a su vez está relacionado con el engagement en</w:t>
      </w:r>
      <w:r>
        <w:rPr>
          <w:rFonts w:ascii="Times New Roman" w:eastAsia="Times New Roman" w:hAnsi="Times New Roman" w:cs="Times New Roman"/>
          <w:sz w:val="24"/>
          <w:szCs w:val="24"/>
        </w:rPr>
        <w:t xml:space="preserve"> el trabajo. Este modelo considera la autoeficacia como factor clave personal para afrontar las demandas laborales. La autoeficacia tiene un papel mediador entre liderazgo y engagement. De esta manera, se observa una relación positiva y significativa en to</w:t>
      </w:r>
      <w:r>
        <w:rPr>
          <w:rFonts w:ascii="Times New Roman" w:eastAsia="Times New Roman" w:hAnsi="Times New Roman" w:cs="Times New Roman"/>
          <w:sz w:val="24"/>
          <w:szCs w:val="24"/>
        </w:rPr>
        <w:t xml:space="preserve">das estas variables.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de los resultados a través del metanálisis de </w:t>
      </w:r>
      <w:r>
        <w:rPr>
          <w:rFonts w:ascii="Times New Roman" w:eastAsia="Times New Roman" w:hAnsi="Times New Roman" w:cs="Times New Roman"/>
          <w:color w:val="333333"/>
          <w:sz w:val="24"/>
          <w:szCs w:val="24"/>
        </w:rPr>
        <w:t>Juez y Bono (2001)</w:t>
      </w:r>
      <w:r>
        <w:rPr>
          <w:rFonts w:ascii="Times New Roman" w:eastAsia="Times New Roman" w:hAnsi="Times New Roman" w:cs="Times New Roman"/>
          <w:sz w:val="24"/>
          <w:szCs w:val="24"/>
        </w:rPr>
        <w:t xml:space="preserve"> es la relación positiva y significativa entre los cuatro aspectos del autoconcepto positivo (autoestima, autoeficacia, locus de control y estabilidad emocional) co</w:t>
      </w:r>
      <w:r>
        <w:rPr>
          <w:rFonts w:ascii="Times New Roman" w:eastAsia="Times New Roman" w:hAnsi="Times New Roman" w:cs="Times New Roman"/>
          <w:sz w:val="24"/>
          <w:szCs w:val="24"/>
        </w:rPr>
        <w:t>n la satisfacción laboral y, en menor medida, con el rendimiento laboral. El neuroticismo y la minuciosidad actúan como predictores de la satisfacción laboral y rendimiento en el trabajo, respectivamente. Así pues, aquellas personas con alto neuroticismo t</w:t>
      </w:r>
      <w:r>
        <w:rPr>
          <w:rFonts w:ascii="Times New Roman" w:eastAsia="Times New Roman" w:hAnsi="Times New Roman" w:cs="Times New Roman"/>
          <w:sz w:val="24"/>
          <w:szCs w:val="24"/>
        </w:rPr>
        <w:t xml:space="preserve">endrán una menor percepción del bienestar y, por tanto, elegirán </w:t>
      </w:r>
      <w:r>
        <w:rPr>
          <w:rFonts w:ascii="Times New Roman" w:eastAsia="Times New Roman" w:hAnsi="Times New Roman" w:cs="Times New Roman"/>
          <w:sz w:val="24"/>
          <w:szCs w:val="24"/>
        </w:rPr>
        <w:lastRenderedPageBreak/>
        <w:t>situaciones donde experimentaran mayor efecto negativo en su autoeficacia. Mientras que aquellas personas más minuciosas tendrán mayor rendimiento en el trabajo y, por tanto, su creencia de a</w:t>
      </w:r>
      <w:r>
        <w:rPr>
          <w:rFonts w:ascii="Times New Roman" w:eastAsia="Times New Roman" w:hAnsi="Times New Roman" w:cs="Times New Roman"/>
          <w:sz w:val="24"/>
          <w:szCs w:val="24"/>
        </w:rPr>
        <w:t xml:space="preserve">utoeficacia será menor.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Unificando todos los resultados anteriores, se encuentra el estudio de </w:t>
      </w:r>
      <w:r>
        <w:rPr>
          <w:rFonts w:ascii="Times New Roman" w:eastAsia="Times New Roman" w:hAnsi="Times New Roman" w:cs="Times New Roman"/>
          <w:color w:val="222222"/>
          <w:sz w:val="24"/>
          <w:szCs w:val="24"/>
        </w:rPr>
        <w:t>Prussia, Anderson y Manz (1998), el cual establece</w:t>
      </w:r>
      <w:r>
        <w:rPr>
          <w:rFonts w:ascii="Times New Roman" w:eastAsia="Times New Roman" w:hAnsi="Times New Roman" w:cs="Times New Roman"/>
          <w:sz w:val="24"/>
          <w:szCs w:val="24"/>
        </w:rPr>
        <w:t xml:space="preserve"> de forma teórica una relación causal entre los constructos de autoeficacia, autoliderazgo y su actuación. Má</w:t>
      </w:r>
      <w:r>
        <w:rPr>
          <w:rFonts w:ascii="Times New Roman" w:eastAsia="Times New Roman" w:hAnsi="Times New Roman" w:cs="Times New Roman"/>
          <w:sz w:val="24"/>
          <w:szCs w:val="24"/>
        </w:rPr>
        <w:t>s concretamente, se observa un efecto significativo en la autoeficacia respecto a las estrategias de autoliderazgo, es decir, están directamente relacionadas. Así pues, se entiende el autoliderazgo como la capacidad propia para influenciar los pensamientos</w:t>
      </w:r>
      <w:r>
        <w:rPr>
          <w:rFonts w:ascii="Times New Roman" w:eastAsia="Times New Roman" w:hAnsi="Times New Roman" w:cs="Times New Roman"/>
          <w:sz w:val="24"/>
          <w:szCs w:val="24"/>
        </w:rPr>
        <w:t xml:space="preserve">, motivaciones y conductas de uno/a mismo/a.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la efectividad del liderazgo, el estudio de </w:t>
      </w:r>
      <w:r>
        <w:rPr>
          <w:rFonts w:ascii="Times New Roman" w:eastAsia="Times New Roman" w:hAnsi="Times New Roman" w:cs="Times New Roman"/>
          <w:color w:val="222222"/>
          <w:sz w:val="24"/>
          <w:szCs w:val="24"/>
        </w:rPr>
        <w:t>Ng, Ang, y Chan (2008)</w:t>
      </w:r>
      <w:r>
        <w:rPr>
          <w:rFonts w:ascii="Times New Roman" w:eastAsia="Times New Roman" w:hAnsi="Times New Roman" w:cs="Times New Roman"/>
          <w:sz w:val="24"/>
          <w:szCs w:val="24"/>
        </w:rPr>
        <w:t xml:space="preserve"> demuestra el efecto mediador de la autoeficacia para liderar entre esta y la personalidad (extraversión, neuroticismo y consci</w:t>
      </w:r>
      <w:r>
        <w:rPr>
          <w:rFonts w:ascii="Times New Roman" w:eastAsia="Times New Roman" w:hAnsi="Times New Roman" w:cs="Times New Roman"/>
          <w:sz w:val="24"/>
          <w:szCs w:val="24"/>
        </w:rPr>
        <w:t xml:space="preserve">encia). Además, se observa el efecto moderador de las bajas demandas laborales y alta autonomía laboral en la personalidad, autoeficacia para liderar y eficacia de liderazgo.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se evidencian los conceptos de autoeficacia para liderar y el pr</w:t>
      </w:r>
      <w:r>
        <w:rPr>
          <w:rFonts w:ascii="Times New Roman" w:eastAsia="Times New Roman" w:hAnsi="Times New Roman" w:cs="Times New Roman"/>
          <w:sz w:val="24"/>
          <w:szCs w:val="24"/>
        </w:rPr>
        <w:t>oceso de liderazgo como claves para la mejora del desarrollo de liderazgo (</w:t>
      </w:r>
      <w:r>
        <w:rPr>
          <w:rFonts w:ascii="Times New Roman" w:eastAsia="Times New Roman" w:hAnsi="Times New Roman" w:cs="Times New Roman"/>
          <w:color w:val="222222"/>
          <w:sz w:val="24"/>
          <w:szCs w:val="24"/>
        </w:rPr>
        <w:t>Murphy y Johnson, 2016)</w:t>
      </w:r>
      <w:r>
        <w:rPr>
          <w:rFonts w:ascii="Times New Roman" w:eastAsia="Times New Roman" w:hAnsi="Times New Roman" w:cs="Times New Roman"/>
          <w:sz w:val="24"/>
          <w:szCs w:val="24"/>
        </w:rPr>
        <w:t>. Entre los hallazgos destacados son: (1) La autoeficacia puede moldearse a través de las experiencias de dominio, el aprendizaje vicario y la persuasión soci</w:t>
      </w:r>
      <w:r>
        <w:rPr>
          <w:rFonts w:ascii="Times New Roman" w:eastAsia="Times New Roman" w:hAnsi="Times New Roman" w:cs="Times New Roman"/>
          <w:sz w:val="24"/>
          <w:szCs w:val="24"/>
        </w:rPr>
        <w:t>al. (2) De este modo, se encuentra el concepto de espirales de eficacia-actuación, el cuál hace referencia a la relación cíclica y positiva entre la autoeficacia y la actuación. (3) La autoeficacia juega un rol importante en la eficacia de liderazgo y su d</w:t>
      </w:r>
      <w:r>
        <w:rPr>
          <w:rFonts w:ascii="Times New Roman" w:eastAsia="Times New Roman" w:hAnsi="Times New Roman" w:cs="Times New Roman"/>
          <w:sz w:val="24"/>
          <w:szCs w:val="24"/>
        </w:rPr>
        <w:t>esarrollo, así pues la autoeficacia es un precursor de los altos niveles de actuación a través de los comportamientos de engagement (persistencia, esfuerzo, estrategia, elección y establecimiento de metas). (4) El desarrollo de la eficacia del líder y la e</w:t>
      </w:r>
      <w:r>
        <w:rPr>
          <w:rFonts w:ascii="Times New Roman" w:eastAsia="Times New Roman" w:hAnsi="Times New Roman" w:cs="Times New Roman"/>
          <w:sz w:val="24"/>
          <w:szCs w:val="24"/>
        </w:rPr>
        <w:t xml:space="preserve">ficacia del líder son dos tipos de autoeficacia, siendo el primero precursor del segundo tipo. (5) La autoeficacia de líder también beneficia la eficacia colectiva y, por tanto, la actuación del grupo. </w:t>
      </w: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importante conocer el rol de la eficacia en el líder y en la actuación de grupo (Hoyt et al., 2003). Así pues, se observa que los líderes con alta autoeficacia para liderar experimentan mayores niveles de autoeficacia y eficacia colectiva para la tarea </w:t>
      </w:r>
      <w:r>
        <w:rPr>
          <w:rFonts w:ascii="Times New Roman" w:eastAsia="Times New Roman" w:hAnsi="Times New Roman" w:cs="Times New Roman"/>
          <w:sz w:val="24"/>
          <w:szCs w:val="24"/>
        </w:rPr>
        <w:t xml:space="preserve">y menos niveles de ansiedad. En otras palabras, se encuentra una relación negativa entre la eficacia para liderar, la ansiedad, </w:t>
      </w:r>
      <w:r>
        <w:rPr>
          <w:rFonts w:ascii="Times New Roman" w:eastAsia="Times New Roman" w:hAnsi="Times New Roman" w:cs="Times New Roman"/>
          <w:sz w:val="24"/>
          <w:szCs w:val="24"/>
        </w:rPr>
        <w:lastRenderedPageBreak/>
        <w:t xml:space="preserve">la autoeficacia de la tarea, la eficacia colectiva y actuación de grupo. También señalar que la relación entre la eficacia para </w:t>
      </w:r>
      <w:r>
        <w:rPr>
          <w:rFonts w:ascii="Times New Roman" w:eastAsia="Times New Roman" w:hAnsi="Times New Roman" w:cs="Times New Roman"/>
          <w:sz w:val="24"/>
          <w:szCs w:val="24"/>
        </w:rPr>
        <w:t>liderar y la actuación de grupo es indirecta, ya que la eficacia para liderar predice la autoeficacia del líder para la tarea y está predice la actuación. Además, la autoeficacia del líder y la eficacia colectiva para la tarea están asociadas, pues la efic</w:t>
      </w:r>
      <w:r>
        <w:rPr>
          <w:rFonts w:ascii="Times New Roman" w:eastAsia="Times New Roman" w:hAnsi="Times New Roman" w:cs="Times New Roman"/>
          <w:sz w:val="24"/>
          <w:szCs w:val="24"/>
        </w:rPr>
        <w:t xml:space="preserve">acia para liderar predice la eficacia colectiva en el líder y está es un importante factor para predecir la eficacia colectiva de los seguidores. Esta eficacia colectiva predecirá finalmente la actuación del grupo.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 el desarrollo del lideraz</w:t>
      </w:r>
      <w:r>
        <w:rPr>
          <w:rFonts w:ascii="Times New Roman" w:eastAsia="Times New Roman" w:hAnsi="Times New Roman" w:cs="Times New Roman"/>
          <w:sz w:val="24"/>
          <w:szCs w:val="24"/>
        </w:rPr>
        <w:t>go (Bergman, Gustafsson-Sendén y Berntson, 2021), la autoeficacia para liderar se encuentra asociada positivamente con todas sus subdimensiones. No obstante, estas dos subdimensiones (eficacia de autocontrol del líder y asertividad de la eficacia del líder</w:t>
      </w:r>
      <w:r>
        <w:rPr>
          <w:rFonts w:ascii="Times New Roman" w:eastAsia="Times New Roman" w:hAnsi="Times New Roman" w:cs="Times New Roman"/>
          <w:sz w:val="24"/>
          <w:szCs w:val="24"/>
        </w:rPr>
        <w:t>) no predicen este desarrollo del liderazgo. Esto tiene sentido ya que, conforme hemos ido viendo, dependiendo de las creencias en las capacidades de uno mismo, este/a líder ejercerá unos comportamientos y actitudes de liderazgo. Más bien, estas dos subdim</w:t>
      </w:r>
      <w:r>
        <w:rPr>
          <w:rFonts w:ascii="Times New Roman" w:eastAsia="Times New Roman" w:hAnsi="Times New Roman" w:cs="Times New Roman"/>
          <w:sz w:val="24"/>
          <w:szCs w:val="24"/>
        </w:rPr>
        <w:t>ensiones son consideradas prerrequisitos que afectan indirectamente los comportamientos de liderazgo.</w:t>
      </w: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encuentra un efecto moderador que implica un compromiso organizacional para la dimensión de autoeficacia de liderazgo (</w:t>
      </w:r>
      <w:r>
        <w:rPr>
          <w:rFonts w:ascii="Times New Roman" w:eastAsia="Times New Roman" w:hAnsi="Times New Roman" w:cs="Times New Roman"/>
          <w:color w:val="222222"/>
          <w:sz w:val="24"/>
          <w:szCs w:val="24"/>
        </w:rPr>
        <w:t xml:space="preserve">Mansor, Darus y Dali, </w:t>
      </w:r>
      <w:r>
        <w:rPr>
          <w:rFonts w:ascii="Times New Roman" w:eastAsia="Times New Roman" w:hAnsi="Times New Roman" w:cs="Times New Roman"/>
          <w:color w:val="222222"/>
          <w:sz w:val="24"/>
          <w:szCs w:val="24"/>
        </w:rPr>
        <w:t>2013)</w:t>
      </w:r>
      <w:r>
        <w:rPr>
          <w:rFonts w:ascii="Times New Roman" w:eastAsia="Times New Roman" w:hAnsi="Times New Roman" w:cs="Times New Roman"/>
          <w:sz w:val="24"/>
          <w:szCs w:val="24"/>
        </w:rPr>
        <w:t>. Además, se encuentran relaciones positivas y significativas entre las dimensiones y los antecedentes de autoeficacia de liderazgo. Estos antecedentes son: la autoestima, habilidades de desempeño de los subordinados y la autonomía laboral de los gere</w:t>
      </w:r>
      <w:r>
        <w:rPr>
          <w:rFonts w:ascii="Times New Roman" w:eastAsia="Times New Roman" w:hAnsi="Times New Roman" w:cs="Times New Roman"/>
          <w:sz w:val="24"/>
          <w:szCs w:val="24"/>
        </w:rPr>
        <w:t xml:space="preserve">ntes, en este último antecedente la relación fue más fuerte. De esta forma, existen relaciones positivas entre la autoeficacia de liderazgo y los intentos de liderazgo (Paglis y Green, 2002).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términos de satisfacción laboral, el estudio de </w:t>
      </w:r>
      <w:r>
        <w:rPr>
          <w:rFonts w:ascii="Times New Roman" w:eastAsia="Times New Roman" w:hAnsi="Times New Roman" w:cs="Times New Roman"/>
          <w:color w:val="222222"/>
          <w:sz w:val="24"/>
          <w:szCs w:val="24"/>
        </w:rPr>
        <w:t>Vallejo, Va</w:t>
      </w:r>
      <w:r>
        <w:rPr>
          <w:rFonts w:ascii="Times New Roman" w:eastAsia="Times New Roman" w:hAnsi="Times New Roman" w:cs="Times New Roman"/>
          <w:color w:val="222222"/>
          <w:sz w:val="24"/>
          <w:szCs w:val="24"/>
        </w:rPr>
        <w:t>llejo y Parra (2001)</w:t>
      </w:r>
      <w:r>
        <w:rPr>
          <w:rFonts w:ascii="Times New Roman" w:eastAsia="Times New Roman" w:hAnsi="Times New Roman" w:cs="Times New Roman"/>
          <w:sz w:val="24"/>
          <w:szCs w:val="24"/>
        </w:rPr>
        <w:t xml:space="preserve"> observa que es uno de los factores que influye menos en el liderazgo. No obstante, el desarrollo de una buena autoeficacia para liderar conlleva múltiples beneficios para la organización. </w:t>
      </w: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las diferencias individuales, Atwat</w:t>
      </w:r>
      <w:r>
        <w:rPr>
          <w:rFonts w:ascii="Times New Roman" w:eastAsia="Times New Roman" w:hAnsi="Times New Roman" w:cs="Times New Roman"/>
          <w:sz w:val="24"/>
          <w:szCs w:val="24"/>
        </w:rPr>
        <w:t xml:space="preserve">er et al., (1999) consideran predictoras de la eficacia del liderazgo. Estas diferencias individuales son: la aptitud física, las experiencias previas, la autoestima, y el vigor, las cuales correlacionaron con la eficacia.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Por último, la autoeficacia par</w:t>
      </w:r>
      <w:r>
        <w:rPr>
          <w:rFonts w:ascii="Times New Roman" w:eastAsia="Times New Roman" w:hAnsi="Times New Roman" w:cs="Times New Roman"/>
          <w:sz w:val="24"/>
          <w:szCs w:val="24"/>
        </w:rPr>
        <w:t xml:space="preserve">a liderar es un factor habilitador en el proceso de imitar comportamientos de liderazgo, tanto cuando los líderes son supervisores como cuando no hay supervisión (Kauppila et al., 2022). En otras palabras, la autoeficacia se considera una condición límite </w:t>
      </w:r>
      <w:r>
        <w:rPr>
          <w:rFonts w:ascii="Times New Roman" w:eastAsia="Times New Roman" w:hAnsi="Times New Roman" w:cs="Times New Roman"/>
          <w:sz w:val="24"/>
          <w:szCs w:val="24"/>
        </w:rPr>
        <w:t xml:space="preserve">que regula los efectos del liderazgo. De esta manera, si en la organización hay bajos niveles de autoeficacia para liderar hay serias consecuencias. </w:t>
      </w:r>
    </w:p>
    <w:p w:rsidR="00D15824" w:rsidRDefault="00591042">
      <w:pPr>
        <w:keepNext/>
        <w:keepLines/>
        <w:numPr>
          <w:ilvl w:val="0"/>
          <w:numId w:val="2"/>
        </w:numPr>
        <w:pBdr>
          <w:top w:val="nil"/>
          <w:left w:val="nil"/>
          <w:bottom w:val="nil"/>
          <w:right w:val="nil"/>
          <w:between w:val="nil"/>
        </w:pBdr>
        <w:spacing w:before="400" w:after="120" w:line="360" w:lineRule="auto"/>
        <w:jc w:val="both"/>
        <w:rPr>
          <w:rFonts w:ascii="Times New Roman" w:eastAsia="Times New Roman" w:hAnsi="Times New Roman" w:cs="Times New Roman"/>
          <w:color w:val="000000"/>
          <w:sz w:val="26"/>
          <w:szCs w:val="26"/>
        </w:rPr>
      </w:pPr>
      <w:bookmarkStart w:id="5" w:name="_heading=h.2et92p0" w:colFirst="0" w:colLast="0"/>
      <w:bookmarkEnd w:id="5"/>
      <w:r>
        <w:rPr>
          <w:rFonts w:ascii="Times New Roman" w:eastAsia="Times New Roman" w:hAnsi="Times New Roman" w:cs="Times New Roman"/>
          <w:b/>
          <w:color w:val="000000"/>
          <w:sz w:val="26"/>
          <w:szCs w:val="26"/>
        </w:rPr>
        <w:t>DISCUSIÓN Y CONCLUSIÓN</w:t>
      </w:r>
    </w:p>
    <w:p w:rsidR="00D15824" w:rsidRDefault="00D15824">
      <w:pPr>
        <w:ind w:left="720"/>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presente revisión, tiene como objetivo la revisión de la literatura científica de la autoeficacia para liderar y discutir los hallazgos hasta el momento. Entre los resultados encontrados, se observa como la creencia de la autoeficacia para liderar se</w:t>
      </w:r>
      <w:r>
        <w:rPr>
          <w:rFonts w:ascii="Times New Roman" w:eastAsia="Times New Roman" w:hAnsi="Times New Roman" w:cs="Times New Roman"/>
          <w:sz w:val="24"/>
          <w:szCs w:val="24"/>
        </w:rPr>
        <w:t xml:space="preserve"> relaciona con la eficacia del liderazgo y esta última, junto con la personalidad tiene un papel mediador en la autoeficacia para liderar. Es por ello, que también se observa esta creencia de autoeficacia como variable reguladora de los pensamientos, motiv</w:t>
      </w:r>
      <w:r>
        <w:rPr>
          <w:rFonts w:ascii="Times New Roman" w:eastAsia="Times New Roman" w:hAnsi="Times New Roman" w:cs="Times New Roman"/>
          <w:sz w:val="24"/>
          <w:szCs w:val="24"/>
        </w:rPr>
        <w:t>aciones y comportamientos que generan un liderazgo eficaz. Específicamente, se llega a observar como una mayor autoeficacia desencadena unos comportamientos de afrontamiento más activos, es decir, un afrontamiento orientado al problema y no a la emoción. E</w:t>
      </w:r>
      <w:r>
        <w:rPr>
          <w:rFonts w:ascii="Times New Roman" w:eastAsia="Times New Roman" w:hAnsi="Times New Roman" w:cs="Times New Roman"/>
          <w:sz w:val="24"/>
          <w:szCs w:val="24"/>
        </w:rPr>
        <w:t>stos comportamientos más activos, se pueden observar como intentos de liderazgo ya que se ha visto una relación entre autoeficacia para liderar y estos intentos. En otras palabras, la autoeficacia para liderar se puede llegar a considerar un factor habilit</w:t>
      </w:r>
      <w:r>
        <w:rPr>
          <w:rFonts w:ascii="Times New Roman" w:eastAsia="Times New Roman" w:hAnsi="Times New Roman" w:cs="Times New Roman"/>
          <w:sz w:val="24"/>
          <w:szCs w:val="24"/>
        </w:rPr>
        <w:t xml:space="preserve">ador para imitar los comportamientos de liderazgo.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segundo lugar, también se muestra una relación positiva entre la autoeficacia, el liderazgo y el engagement. Esto es así, porque los cuatro aspectos del autoconcepto positivo, entre ellos la autoefica</w:t>
      </w:r>
      <w:r>
        <w:rPr>
          <w:rFonts w:ascii="Times New Roman" w:eastAsia="Times New Roman" w:hAnsi="Times New Roman" w:cs="Times New Roman"/>
          <w:sz w:val="24"/>
          <w:szCs w:val="24"/>
        </w:rPr>
        <w:t xml:space="preserve">cia, se relacionan significativamente con la satisfacción laboral y en menor medida con el rendimiento laboral. No obstante, se establece que la satisfacción laboral es uno de los factores que menos influye en el liderazgo, pero si en la autoeficacia para </w:t>
      </w:r>
      <w:r>
        <w:rPr>
          <w:rFonts w:ascii="Times New Roman" w:eastAsia="Times New Roman" w:hAnsi="Times New Roman" w:cs="Times New Roman"/>
          <w:sz w:val="24"/>
          <w:szCs w:val="24"/>
        </w:rPr>
        <w:t xml:space="preserve">liderar.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 la actuación de grupo, se encuentra una relación causal entre la autoeficacia, el autoliderazgo y esta, así se observa en las espirales de eficacia-actuación. En consecuencia, la autoeficacia puede modificarse igual que el liderazg</w:t>
      </w:r>
      <w:r>
        <w:rPr>
          <w:rFonts w:ascii="Times New Roman" w:eastAsia="Times New Roman" w:hAnsi="Times New Roman" w:cs="Times New Roman"/>
          <w:sz w:val="24"/>
          <w:szCs w:val="24"/>
        </w:rPr>
        <w:t xml:space="preserve">o a través de sus dimensiones. Son habilidades que pueden entrenarse para la mejora y/o fortalecimiento de la actuación de grupo </w:t>
      </w:r>
      <w:r>
        <w:rPr>
          <w:rFonts w:ascii="Times New Roman" w:eastAsia="Times New Roman" w:hAnsi="Times New Roman" w:cs="Times New Roman"/>
          <w:sz w:val="24"/>
          <w:szCs w:val="24"/>
        </w:rPr>
        <w:lastRenderedPageBreak/>
        <w:t>y todo lo que esto conlleva. De esta manera, las dimensiones de la autoeficacia para liderar no predicen directamente el lidera</w:t>
      </w:r>
      <w:r>
        <w:rPr>
          <w:rFonts w:ascii="Times New Roman" w:eastAsia="Times New Roman" w:hAnsi="Times New Roman" w:cs="Times New Roman"/>
          <w:sz w:val="24"/>
          <w:szCs w:val="24"/>
        </w:rPr>
        <w:t xml:space="preserve">zgo sino los comportamientos previos.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esta relación, cabe destacar el rol de la eficacia del líder, ya que se encuentra indirectamente relacionado con la actuación del grupo. Por consiguiente, la actuación de grupo se ve influida por la eficaci</w:t>
      </w:r>
      <w:r>
        <w:rPr>
          <w:rFonts w:ascii="Times New Roman" w:eastAsia="Times New Roman" w:hAnsi="Times New Roman" w:cs="Times New Roman"/>
          <w:sz w:val="24"/>
          <w:szCs w:val="24"/>
        </w:rPr>
        <w:t>a del grupo previamente mediada por la eficacia del líder y también por la autoeficacia del propio líder para la tarea. De forma más directa, las diferencias individuales de aptitud física, experiencias previas, autoestima y vigor son predictoras de la efi</w:t>
      </w:r>
      <w:r>
        <w:rPr>
          <w:rFonts w:ascii="Times New Roman" w:eastAsia="Times New Roman" w:hAnsi="Times New Roman" w:cs="Times New Roman"/>
          <w:sz w:val="24"/>
          <w:szCs w:val="24"/>
        </w:rPr>
        <w:t xml:space="preserve">cacia del liderazgo.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A pesar de que fueron </w:t>
      </w:r>
      <w:r>
        <w:rPr>
          <w:rFonts w:ascii="Times New Roman" w:eastAsia="Times New Roman" w:hAnsi="Times New Roman" w:cs="Times New Roman"/>
          <w:sz w:val="24"/>
          <w:szCs w:val="24"/>
        </w:rPr>
        <w:t>pocos los estudios encontrados que relacionen autoeficacia y liderazgo, se pueden observar bastantes hallazgos interesantes para aplicarlos en la práctica del ámbito de los recursos humanos. Entre ellos, resalta</w:t>
      </w:r>
      <w:r>
        <w:rPr>
          <w:rFonts w:ascii="Times New Roman" w:eastAsia="Times New Roman" w:hAnsi="Times New Roman" w:cs="Times New Roman"/>
          <w:sz w:val="24"/>
          <w:szCs w:val="24"/>
        </w:rPr>
        <w:t>r la importancia de la implementación de los programas de estrategias de autoliderazgo. Estos permiten mejorar la actuación de grupo a través del entrenamiento de experiencias de liderazgo, las cuales fomentarán cogniciones, motivaciones, y conductas más a</w:t>
      </w:r>
      <w:r>
        <w:rPr>
          <w:rFonts w:ascii="Times New Roman" w:eastAsia="Times New Roman" w:hAnsi="Times New Roman" w:cs="Times New Roman"/>
          <w:sz w:val="24"/>
          <w:szCs w:val="24"/>
        </w:rPr>
        <w:t>ctivas. Estas, se pueden ver como intentos de liderazgo y, por tanto, aumenta la probabilidad de ejercer un liderazgo eficaz. A su vez, mejorará tanto la autoeficacia para liderar como la actuación de grupo ya que presentan una relación causal con la efica</w:t>
      </w:r>
      <w:r>
        <w:rPr>
          <w:rFonts w:ascii="Times New Roman" w:eastAsia="Times New Roman" w:hAnsi="Times New Roman" w:cs="Times New Roman"/>
          <w:sz w:val="24"/>
          <w:szCs w:val="24"/>
        </w:rPr>
        <w:t xml:space="preserve">cia de liderazgo.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Aquí, es donde se observa la importancia de los altos niveles de autoeficacia para liderar, los cuales permiten la imitación de los comportamientos de liderazgo. Por ello, las organizaciones tratan de promover el liderazgo en todos los </w:t>
      </w:r>
      <w:r>
        <w:rPr>
          <w:rFonts w:ascii="Times New Roman" w:eastAsia="Times New Roman" w:hAnsi="Times New Roman" w:cs="Times New Roman"/>
          <w:sz w:val="24"/>
          <w:szCs w:val="24"/>
        </w:rPr>
        <w:t>miembros. Estos comportamientos de ayuda y servicio a otros en el trabajo ayudan a promover cambios positivos en las organizaciones ya que generan unas percepciones favorables.</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este modo, se vuelve a poner de manifiesto la necesidad de fomentar el entr</w:t>
      </w:r>
      <w:r>
        <w:rPr>
          <w:rFonts w:ascii="Times New Roman" w:eastAsia="Times New Roman" w:hAnsi="Times New Roman" w:cs="Times New Roman"/>
          <w:sz w:val="24"/>
          <w:szCs w:val="24"/>
        </w:rPr>
        <w:t xml:space="preserve">enamiento de liderazgo para obtener líderes eficaces y efectivos y todos los beneficios que supone en la organización.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es de gran utilidad llevar a cabo prevenciones para el control de situaciones estresantes en la organización. Estas estarán cen</w:t>
      </w:r>
      <w:r>
        <w:rPr>
          <w:rFonts w:ascii="Times New Roman" w:eastAsia="Times New Roman" w:hAnsi="Times New Roman" w:cs="Times New Roman"/>
          <w:sz w:val="24"/>
          <w:szCs w:val="24"/>
        </w:rPr>
        <w:t xml:space="preserve">tradas en mejorar la autoeficacia de los </w:t>
      </w:r>
      <w:r>
        <w:rPr>
          <w:rFonts w:ascii="Times New Roman" w:eastAsia="Times New Roman" w:hAnsi="Times New Roman" w:cs="Times New Roman"/>
          <w:sz w:val="24"/>
          <w:szCs w:val="24"/>
        </w:rPr>
        <w:lastRenderedPageBreak/>
        <w:t xml:space="preserve">empleados, ya que los altos niveles de este constructo pueden ayudar a estos a hacer frente los obstáculos de forma más efectiva. Por ello, para que una empresa obtenga los beneficios de los/as empleados/as engaged </w:t>
      </w:r>
      <w:r>
        <w:rPr>
          <w:rFonts w:ascii="Times New Roman" w:eastAsia="Times New Roman" w:hAnsi="Times New Roman" w:cs="Times New Roman"/>
          <w:sz w:val="24"/>
          <w:szCs w:val="24"/>
        </w:rPr>
        <w:t xml:space="preserve">deberá poner en marcha intervenciones para mejorar las creencias de autoeficacia y llevar a cabo un liderazgo de apoyo.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Otra de las limitaciones</w:t>
      </w:r>
      <w:r>
        <w:rPr>
          <w:rFonts w:ascii="Times New Roman" w:eastAsia="Times New Roman" w:hAnsi="Times New Roman" w:cs="Times New Roman"/>
          <w:sz w:val="24"/>
          <w:szCs w:val="24"/>
        </w:rPr>
        <w:t xml:space="preserve"> fue la baja validez externa, debido a que el tamaño de las muestras de los estudios revisados no es muy grand</w:t>
      </w:r>
      <w:r>
        <w:rPr>
          <w:rFonts w:ascii="Times New Roman" w:eastAsia="Times New Roman" w:hAnsi="Times New Roman" w:cs="Times New Roman"/>
          <w:sz w:val="24"/>
          <w:szCs w:val="24"/>
        </w:rPr>
        <w:t xml:space="preserve">e y no se puede generalizar a otras muestras.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futuras investigaciones, sería interesante recoger datos más heterogéneos para obtener resultados más representativos de la autoeficacia para liderar en todas las ocupaciones existentes y en ambos sexos. Así pues, es necesario explorar la relación de la</w:t>
      </w:r>
      <w:r>
        <w:rPr>
          <w:rFonts w:ascii="Times New Roman" w:eastAsia="Times New Roman" w:hAnsi="Times New Roman" w:cs="Times New Roman"/>
          <w:sz w:val="24"/>
          <w:szCs w:val="24"/>
        </w:rPr>
        <w:t xml:space="preserve"> autoeficacia para liderar en los diferentes contextos. Tratar de replicar estos hallazgos sería un buen punto y así se podrían generalizar mejor los resultados. Además, se deberían realizar estudios longitudinales para observar los efectos de la autoefica</w:t>
      </w:r>
      <w:r>
        <w:rPr>
          <w:rFonts w:ascii="Times New Roman" w:eastAsia="Times New Roman" w:hAnsi="Times New Roman" w:cs="Times New Roman"/>
          <w:sz w:val="24"/>
          <w:szCs w:val="24"/>
        </w:rPr>
        <w:t xml:space="preserve">cia para liderar a largo plazo y poder realizar más atribuciones causales. </w:t>
      </w:r>
    </w:p>
    <w:p w:rsidR="00D15824" w:rsidRDefault="00D15824">
      <w:pPr>
        <w:spacing w:line="360" w:lineRule="auto"/>
        <w:jc w:val="both"/>
        <w:rPr>
          <w:rFonts w:ascii="Times New Roman" w:eastAsia="Times New Roman" w:hAnsi="Times New Roman" w:cs="Times New Roman"/>
          <w:sz w:val="24"/>
          <w:szCs w:val="24"/>
        </w:rPr>
      </w:pPr>
    </w:p>
    <w:p w:rsidR="00D15824" w:rsidRDefault="0059104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la promoción de experiencias de liderazgo, el aprendizaje observacional, la persuasión social y los estados psicológicos y fisiológicos permiten mejorar el desarrol</w:t>
      </w:r>
      <w:r>
        <w:rPr>
          <w:rFonts w:ascii="Times New Roman" w:eastAsia="Times New Roman" w:hAnsi="Times New Roman" w:cs="Times New Roman"/>
          <w:sz w:val="24"/>
          <w:szCs w:val="24"/>
        </w:rPr>
        <w:t xml:space="preserve">lo de la eficacia del líder indirectamente, a través de la mejora directa del constructo de autoeficacia. De esta manera, se consiguen unos líderes eficaces y efectivos. Aún así, no se debe considerar que por recibir el entrenamiento ya no necesiten de un </w:t>
      </w:r>
      <w:r>
        <w:rPr>
          <w:rFonts w:ascii="Times New Roman" w:eastAsia="Times New Roman" w:hAnsi="Times New Roman" w:cs="Times New Roman"/>
          <w:sz w:val="24"/>
          <w:szCs w:val="24"/>
        </w:rPr>
        <w:t xml:space="preserve">acompañamiento inicial, pues sí que lo necesitan. Pero no por esto estas intervenciones no son necesarias, lo son ya que tienen múltiples beneficios para la organización. Estas intervenciones se encuentran basadas en la teoría social cognitiva de Bandura, </w:t>
      </w:r>
      <w:r>
        <w:rPr>
          <w:rFonts w:ascii="Times New Roman" w:eastAsia="Times New Roman" w:hAnsi="Times New Roman" w:cs="Times New Roman"/>
          <w:sz w:val="24"/>
          <w:szCs w:val="24"/>
        </w:rPr>
        <w:t xml:space="preserve">pues todos los hallazgos encontrados en la revisión siguen apoyando esta teoría y añaden valor a la literatura. </w:t>
      </w:r>
    </w:p>
    <w:p w:rsidR="00D15824" w:rsidRDefault="00591042">
      <w:pPr>
        <w:keepNext/>
        <w:keepLines/>
        <w:numPr>
          <w:ilvl w:val="0"/>
          <w:numId w:val="2"/>
        </w:numPr>
        <w:pBdr>
          <w:top w:val="nil"/>
          <w:left w:val="nil"/>
          <w:bottom w:val="nil"/>
          <w:right w:val="nil"/>
          <w:between w:val="nil"/>
        </w:pBdr>
        <w:spacing w:before="400" w:after="120" w:line="360" w:lineRule="auto"/>
        <w:jc w:val="both"/>
        <w:rPr>
          <w:rFonts w:ascii="Times New Roman" w:eastAsia="Times New Roman" w:hAnsi="Times New Roman" w:cs="Times New Roman"/>
          <w:color w:val="000000"/>
          <w:sz w:val="26"/>
          <w:szCs w:val="26"/>
        </w:rPr>
      </w:pPr>
      <w:bookmarkStart w:id="6" w:name="_heading=h.tyjcwt" w:colFirst="0" w:colLast="0"/>
      <w:bookmarkEnd w:id="6"/>
      <w:r>
        <w:rPr>
          <w:rFonts w:ascii="Times New Roman" w:eastAsia="Times New Roman" w:hAnsi="Times New Roman" w:cs="Times New Roman"/>
          <w:b/>
          <w:color w:val="000000"/>
          <w:sz w:val="26"/>
          <w:szCs w:val="26"/>
        </w:rPr>
        <w:t>BIBLIOGRAFÍA</w:t>
      </w:r>
    </w:p>
    <w:p w:rsidR="00D15824" w:rsidRDefault="00591042">
      <w:pPr>
        <w:ind w:left="720"/>
      </w:pPr>
      <w:r>
        <w:tab/>
      </w:r>
    </w:p>
    <w:p w:rsidR="00D15824" w:rsidRDefault="0059104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Tripiana, J., &amp; Llorens, S. (2015). Fomentando empleados engaged: el rol del líder y de la autoeficacia. </w:t>
      </w:r>
      <w:r>
        <w:rPr>
          <w:rFonts w:ascii="Times New Roman" w:eastAsia="Times New Roman" w:hAnsi="Times New Roman" w:cs="Times New Roman"/>
          <w:i/>
          <w:color w:val="222222"/>
          <w:sz w:val="24"/>
          <w:szCs w:val="24"/>
          <w:highlight w:val="white"/>
        </w:rPr>
        <w:t>Anales de psicología</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31</w:t>
      </w:r>
      <w:r>
        <w:rPr>
          <w:rFonts w:ascii="Times New Roman" w:eastAsia="Times New Roman" w:hAnsi="Times New Roman" w:cs="Times New Roman"/>
          <w:color w:val="222222"/>
          <w:sz w:val="24"/>
          <w:szCs w:val="24"/>
          <w:highlight w:val="white"/>
        </w:rPr>
        <w:t>(2), 636-644.</w:t>
      </w:r>
    </w:p>
    <w:p w:rsidR="00D15824" w:rsidRPr="00C06198" w:rsidRDefault="00591042">
      <w:pPr>
        <w:spacing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222222"/>
          <w:sz w:val="24"/>
          <w:szCs w:val="24"/>
        </w:rPr>
        <w:lastRenderedPageBreak/>
        <w:t xml:space="preserve">Anderson, D. W., Krajewski, H. T., Goffin, R. D., &amp; Jackson, D. N. (2008). </w:t>
      </w:r>
      <w:r w:rsidRPr="00C06198">
        <w:rPr>
          <w:rFonts w:ascii="Times New Roman" w:eastAsia="Times New Roman" w:hAnsi="Times New Roman" w:cs="Times New Roman"/>
          <w:color w:val="222222"/>
          <w:sz w:val="24"/>
          <w:szCs w:val="24"/>
          <w:lang w:val="en-US"/>
        </w:rPr>
        <w:t>A leadership self-efficacy taxonomy and its relation to effective leadership. The Leadership Quarterly, 19(5), 595-608.</w:t>
      </w:r>
    </w:p>
    <w:p w:rsidR="00D15824" w:rsidRPr="00C06198" w:rsidRDefault="00591042">
      <w:pPr>
        <w:spacing w:line="360" w:lineRule="auto"/>
        <w:ind w:firstLine="720"/>
        <w:jc w:val="both"/>
        <w:rPr>
          <w:rFonts w:ascii="Times New Roman" w:eastAsia="Times New Roman" w:hAnsi="Times New Roman" w:cs="Times New Roman"/>
          <w:color w:val="222222"/>
          <w:sz w:val="24"/>
          <w:szCs w:val="24"/>
          <w:lang w:val="en-US"/>
        </w:rPr>
      </w:pPr>
      <w:r w:rsidRPr="00C06198">
        <w:rPr>
          <w:rFonts w:ascii="Times New Roman" w:eastAsia="Times New Roman" w:hAnsi="Times New Roman" w:cs="Times New Roman"/>
          <w:color w:val="222222"/>
          <w:sz w:val="24"/>
          <w:szCs w:val="24"/>
          <w:lang w:val="en-US"/>
        </w:rPr>
        <w:t>Ng, K. Y., Ang, S., &amp; Chan, K. Y. (2008). Per</w:t>
      </w:r>
      <w:r w:rsidRPr="00C06198">
        <w:rPr>
          <w:rFonts w:ascii="Times New Roman" w:eastAsia="Times New Roman" w:hAnsi="Times New Roman" w:cs="Times New Roman"/>
          <w:color w:val="222222"/>
          <w:sz w:val="24"/>
          <w:szCs w:val="24"/>
          <w:lang w:val="en-US"/>
        </w:rPr>
        <w:t>sonality and leader effectiveness: a moderated mediation model of leadership self-efficacy, job demands, and job autonomy. Journal of Applied psychology, 93(4), 733.</w:t>
      </w:r>
    </w:p>
    <w:p w:rsidR="00D15824" w:rsidRPr="00C06198" w:rsidRDefault="00591042">
      <w:pPr>
        <w:spacing w:line="360" w:lineRule="auto"/>
        <w:ind w:firstLine="720"/>
        <w:jc w:val="both"/>
        <w:rPr>
          <w:rFonts w:ascii="Times New Roman" w:eastAsia="Times New Roman" w:hAnsi="Times New Roman" w:cs="Times New Roman"/>
          <w:color w:val="222222"/>
          <w:sz w:val="24"/>
          <w:szCs w:val="24"/>
          <w:lang w:val="en-US"/>
        </w:rPr>
      </w:pPr>
      <w:r w:rsidRPr="00C06198">
        <w:rPr>
          <w:rFonts w:ascii="Times New Roman" w:eastAsia="Times New Roman" w:hAnsi="Times New Roman" w:cs="Times New Roman"/>
          <w:color w:val="222222"/>
          <w:sz w:val="24"/>
          <w:szCs w:val="24"/>
          <w:lang w:val="en-US"/>
        </w:rPr>
        <w:t>Prussia, G. E., Anderson, J. S., &amp; Manz, C. C. (1998). Self‐leadership and performance out</w:t>
      </w:r>
      <w:r w:rsidRPr="00C06198">
        <w:rPr>
          <w:rFonts w:ascii="Times New Roman" w:eastAsia="Times New Roman" w:hAnsi="Times New Roman" w:cs="Times New Roman"/>
          <w:color w:val="222222"/>
          <w:sz w:val="24"/>
          <w:szCs w:val="24"/>
          <w:lang w:val="en-US"/>
        </w:rPr>
        <w:t>comes: the mediating influence of self‐efficacy. Journal of Organizational Behavior: The International Journal of Industrial, Occupational and Organizational Psychology and Behavior, 19(5), 523-538.</w:t>
      </w:r>
    </w:p>
    <w:p w:rsidR="00D15824" w:rsidRPr="00C06198" w:rsidRDefault="00591042">
      <w:pPr>
        <w:spacing w:line="360" w:lineRule="auto"/>
        <w:ind w:firstLine="720"/>
        <w:jc w:val="both"/>
        <w:rPr>
          <w:rFonts w:ascii="Times New Roman" w:eastAsia="Times New Roman" w:hAnsi="Times New Roman" w:cs="Times New Roman"/>
          <w:color w:val="222222"/>
          <w:sz w:val="24"/>
          <w:szCs w:val="24"/>
          <w:lang w:val="en-US"/>
        </w:rPr>
      </w:pPr>
      <w:r w:rsidRPr="00C06198">
        <w:rPr>
          <w:rFonts w:ascii="Times New Roman" w:eastAsia="Times New Roman" w:hAnsi="Times New Roman" w:cs="Times New Roman"/>
          <w:color w:val="222222"/>
          <w:sz w:val="24"/>
          <w:szCs w:val="24"/>
          <w:lang w:val="en-US"/>
        </w:rPr>
        <w:t>McCormick, M. J. (2001). Self-efficacy and leadership eff</w:t>
      </w:r>
      <w:r w:rsidRPr="00C06198">
        <w:rPr>
          <w:rFonts w:ascii="Times New Roman" w:eastAsia="Times New Roman" w:hAnsi="Times New Roman" w:cs="Times New Roman"/>
          <w:color w:val="222222"/>
          <w:sz w:val="24"/>
          <w:szCs w:val="24"/>
          <w:lang w:val="en-US"/>
        </w:rPr>
        <w:t>ectiveness: Applying social cognitive theory to leadership. Journal of Leadership Studies, 8(1), 22-33.</w:t>
      </w:r>
    </w:p>
    <w:p w:rsidR="00D15824" w:rsidRPr="00C06198" w:rsidRDefault="00591042">
      <w:pPr>
        <w:spacing w:line="360" w:lineRule="auto"/>
        <w:ind w:firstLine="720"/>
        <w:jc w:val="both"/>
        <w:rPr>
          <w:rFonts w:ascii="Times New Roman" w:eastAsia="Times New Roman" w:hAnsi="Times New Roman" w:cs="Times New Roman"/>
          <w:color w:val="222222"/>
          <w:sz w:val="24"/>
          <w:szCs w:val="24"/>
          <w:lang w:val="en-US"/>
        </w:rPr>
      </w:pPr>
      <w:r w:rsidRPr="00C06198">
        <w:rPr>
          <w:rFonts w:ascii="Times New Roman" w:eastAsia="Times New Roman" w:hAnsi="Times New Roman" w:cs="Times New Roman"/>
          <w:color w:val="222222"/>
          <w:sz w:val="24"/>
          <w:szCs w:val="24"/>
          <w:lang w:val="en-US"/>
        </w:rPr>
        <w:t>Murphy, S. E., &amp; Johnson, S. K. (2016). Leadership and leader developmental self‐efficacy: Their role in enhancing leader development efforts. New Direc</w:t>
      </w:r>
      <w:r w:rsidRPr="00C06198">
        <w:rPr>
          <w:rFonts w:ascii="Times New Roman" w:eastAsia="Times New Roman" w:hAnsi="Times New Roman" w:cs="Times New Roman"/>
          <w:color w:val="222222"/>
          <w:sz w:val="24"/>
          <w:szCs w:val="24"/>
          <w:lang w:val="en-US"/>
        </w:rPr>
        <w:t>tions for Student Leadership, 2016(149), 73-84.</w:t>
      </w:r>
    </w:p>
    <w:p w:rsidR="00D15824" w:rsidRPr="00C06198" w:rsidRDefault="00591042">
      <w:pPr>
        <w:spacing w:line="360" w:lineRule="auto"/>
        <w:ind w:firstLine="720"/>
        <w:jc w:val="both"/>
        <w:rPr>
          <w:rFonts w:ascii="Times New Roman" w:eastAsia="Times New Roman" w:hAnsi="Times New Roman" w:cs="Times New Roman"/>
          <w:color w:val="222222"/>
          <w:sz w:val="24"/>
          <w:szCs w:val="24"/>
          <w:lang w:val="en-US"/>
        </w:rPr>
      </w:pPr>
      <w:r w:rsidRPr="00C06198">
        <w:rPr>
          <w:rFonts w:ascii="Times New Roman" w:eastAsia="Times New Roman" w:hAnsi="Times New Roman" w:cs="Times New Roman"/>
          <w:color w:val="222222"/>
          <w:sz w:val="24"/>
          <w:szCs w:val="24"/>
          <w:lang w:val="en-US"/>
        </w:rPr>
        <w:t xml:space="preserve">Mansor, A., Darus, A., &amp; Dali, M. (2013). </w:t>
      </w:r>
      <w:r>
        <w:rPr>
          <w:rFonts w:ascii="Times New Roman" w:eastAsia="Times New Roman" w:hAnsi="Times New Roman" w:cs="Times New Roman"/>
          <w:color w:val="222222"/>
          <w:sz w:val="24"/>
          <w:szCs w:val="24"/>
        </w:rPr>
        <w:t xml:space="preserve">Efecto mediador de la autoeficacia en el autoliderazgo y el comportamiento de ciudadanía organizacional de los maestros: un marco conceptual. </w:t>
      </w:r>
      <w:r w:rsidRPr="00C06198">
        <w:rPr>
          <w:rFonts w:ascii="Times New Roman" w:eastAsia="Times New Roman" w:hAnsi="Times New Roman" w:cs="Times New Roman"/>
          <w:color w:val="222222"/>
          <w:sz w:val="24"/>
          <w:szCs w:val="24"/>
          <w:lang w:val="en-US"/>
        </w:rPr>
        <w:t>International Journal of</w:t>
      </w:r>
      <w:r w:rsidRPr="00C06198">
        <w:rPr>
          <w:rFonts w:ascii="Times New Roman" w:eastAsia="Times New Roman" w:hAnsi="Times New Roman" w:cs="Times New Roman"/>
          <w:color w:val="222222"/>
          <w:sz w:val="24"/>
          <w:szCs w:val="24"/>
          <w:lang w:val="en-US"/>
        </w:rPr>
        <w:t xml:space="preserve"> Economics Business and Management Studies, 2(1), 1-11.</w:t>
      </w:r>
    </w:p>
    <w:p w:rsidR="00D15824" w:rsidRDefault="00591042">
      <w:pPr>
        <w:spacing w:line="360" w:lineRule="auto"/>
        <w:ind w:firstLine="720"/>
        <w:jc w:val="both"/>
        <w:rPr>
          <w:rFonts w:ascii="Times New Roman" w:eastAsia="Times New Roman" w:hAnsi="Times New Roman" w:cs="Times New Roman"/>
          <w:color w:val="222222"/>
          <w:sz w:val="24"/>
          <w:szCs w:val="24"/>
        </w:rPr>
      </w:pPr>
      <w:r w:rsidRPr="00C06198">
        <w:rPr>
          <w:rFonts w:ascii="Times New Roman" w:eastAsia="Times New Roman" w:hAnsi="Times New Roman" w:cs="Times New Roman"/>
          <w:color w:val="222222"/>
          <w:sz w:val="24"/>
          <w:szCs w:val="24"/>
          <w:lang w:val="en-US"/>
        </w:rPr>
        <w:t xml:space="preserve">Vallejo, R. D., Vallejo, J. A. D., &amp; Parra, S. O. (2001). Job satisfaction in banking workers. </w:t>
      </w:r>
      <w:r>
        <w:rPr>
          <w:rFonts w:ascii="Times New Roman" w:eastAsia="Times New Roman" w:hAnsi="Times New Roman" w:cs="Times New Roman"/>
          <w:color w:val="222222"/>
          <w:sz w:val="24"/>
          <w:szCs w:val="24"/>
        </w:rPr>
        <w:t>Psicothema, 13(4), 629-635.</w:t>
      </w:r>
    </w:p>
    <w:p w:rsidR="00D15824" w:rsidRDefault="00591042">
      <w:pPr>
        <w:spacing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333333"/>
          <w:sz w:val="24"/>
          <w:szCs w:val="24"/>
        </w:rPr>
        <w:t>Juez, T. A., &amp; Bono, J. E. (2001). Relación de los rasgos centrales de las au</w:t>
      </w:r>
      <w:r>
        <w:rPr>
          <w:rFonts w:ascii="Times New Roman" w:eastAsia="Times New Roman" w:hAnsi="Times New Roman" w:cs="Times New Roman"/>
          <w:color w:val="333333"/>
          <w:sz w:val="24"/>
          <w:szCs w:val="24"/>
        </w:rPr>
        <w:t>toevaluaciones (autoestima, autoeficacia generalizada, locus de control y estabilidad emocional) con la satisfacción laboral y el desempeño laboral: un metaanálisis. Revista de Psicología Aplicada, 86(1), 80–92.</w:t>
      </w:r>
    </w:p>
    <w:p w:rsidR="00D15824" w:rsidRPr="00C06198" w:rsidRDefault="00591042">
      <w:pPr>
        <w:spacing w:line="360" w:lineRule="auto"/>
        <w:ind w:firstLine="72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Paglis, L. L., &amp; Green, S. G. (2002). </w:t>
      </w:r>
      <w:r w:rsidRPr="00C06198">
        <w:rPr>
          <w:rFonts w:ascii="Times New Roman" w:eastAsia="Times New Roman" w:hAnsi="Times New Roman" w:cs="Times New Roman"/>
          <w:color w:val="333333"/>
          <w:sz w:val="24"/>
          <w:szCs w:val="24"/>
          <w:lang w:val="en-US"/>
        </w:rPr>
        <w:t>Leader</w:t>
      </w:r>
      <w:r w:rsidRPr="00C06198">
        <w:rPr>
          <w:rFonts w:ascii="Times New Roman" w:eastAsia="Times New Roman" w:hAnsi="Times New Roman" w:cs="Times New Roman"/>
          <w:color w:val="333333"/>
          <w:sz w:val="24"/>
          <w:szCs w:val="24"/>
          <w:lang w:val="en-US"/>
        </w:rPr>
        <w:t>ship self‐efficacy and managers' motivation for leading change. Journal of Organizational Behavior: The International Journal of Industrial, Occupational and Organizational Psychology and Behavior, 23(2), 215-235.</w:t>
      </w:r>
    </w:p>
    <w:p w:rsidR="00D15824" w:rsidRPr="00C06198" w:rsidRDefault="00591042">
      <w:pPr>
        <w:spacing w:line="360" w:lineRule="auto"/>
        <w:ind w:firstLine="720"/>
        <w:jc w:val="both"/>
        <w:rPr>
          <w:rFonts w:ascii="Times New Roman" w:eastAsia="Times New Roman" w:hAnsi="Times New Roman" w:cs="Times New Roman"/>
          <w:color w:val="333333"/>
          <w:sz w:val="24"/>
          <w:szCs w:val="24"/>
          <w:lang w:val="en-US"/>
        </w:rPr>
      </w:pPr>
      <w:r w:rsidRPr="00C06198">
        <w:rPr>
          <w:rFonts w:ascii="Times New Roman" w:eastAsia="Times New Roman" w:hAnsi="Times New Roman" w:cs="Times New Roman"/>
          <w:color w:val="333333"/>
          <w:sz w:val="24"/>
          <w:szCs w:val="24"/>
          <w:lang w:val="en-US"/>
        </w:rPr>
        <w:t xml:space="preserve">Hoyt, C. L., Murphy, S. E., Halverson, S. </w:t>
      </w:r>
      <w:r w:rsidRPr="00C06198">
        <w:rPr>
          <w:rFonts w:ascii="Times New Roman" w:eastAsia="Times New Roman" w:hAnsi="Times New Roman" w:cs="Times New Roman"/>
          <w:color w:val="333333"/>
          <w:sz w:val="24"/>
          <w:szCs w:val="24"/>
          <w:lang w:val="en-US"/>
        </w:rPr>
        <w:t>K., &amp; Watson, C. B. (2003). Group leadership: Efficacy and effectiveness. Group Dynamics: Theory, Research, and Practice, 7(4), 259.</w:t>
      </w:r>
    </w:p>
    <w:p w:rsidR="00D15824" w:rsidRPr="00C06198" w:rsidRDefault="00591042">
      <w:pPr>
        <w:spacing w:line="360" w:lineRule="auto"/>
        <w:ind w:firstLine="72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lastRenderedPageBreak/>
        <w:t xml:space="preserve">Atwater, L. E., Dionne, S. D., Avolio, B., Camobreco, J. E., &amp; Lau, A. W. (1999). </w:t>
      </w:r>
      <w:r w:rsidRPr="00C06198">
        <w:rPr>
          <w:rFonts w:ascii="Times New Roman" w:eastAsia="Times New Roman" w:hAnsi="Times New Roman" w:cs="Times New Roman"/>
          <w:color w:val="333333"/>
          <w:sz w:val="24"/>
          <w:szCs w:val="24"/>
          <w:lang w:val="en-US"/>
        </w:rPr>
        <w:t>A longitudinal study of the leadership de</w:t>
      </w:r>
      <w:r w:rsidRPr="00C06198">
        <w:rPr>
          <w:rFonts w:ascii="Times New Roman" w:eastAsia="Times New Roman" w:hAnsi="Times New Roman" w:cs="Times New Roman"/>
          <w:color w:val="333333"/>
          <w:sz w:val="24"/>
          <w:szCs w:val="24"/>
          <w:lang w:val="en-US"/>
        </w:rPr>
        <w:t>velopment process: Individual differences predicting leader effectiveness. Human relations, 52(12), 1543-1562.</w:t>
      </w:r>
    </w:p>
    <w:p w:rsidR="00D15824" w:rsidRPr="00C06198" w:rsidRDefault="00591042">
      <w:pPr>
        <w:spacing w:line="360" w:lineRule="auto"/>
        <w:ind w:firstLine="720"/>
        <w:jc w:val="both"/>
        <w:rPr>
          <w:rFonts w:ascii="Times New Roman" w:eastAsia="Times New Roman" w:hAnsi="Times New Roman" w:cs="Times New Roman"/>
          <w:color w:val="333333"/>
          <w:sz w:val="24"/>
          <w:szCs w:val="24"/>
          <w:lang w:val="en-US"/>
        </w:rPr>
      </w:pPr>
      <w:r w:rsidRPr="00C06198">
        <w:rPr>
          <w:rFonts w:ascii="Times New Roman" w:eastAsia="Times New Roman" w:hAnsi="Times New Roman" w:cs="Times New Roman"/>
          <w:color w:val="333333"/>
          <w:sz w:val="24"/>
          <w:szCs w:val="24"/>
          <w:lang w:val="en-US"/>
        </w:rPr>
        <w:t>Bergman, D., Gustafsson-Sendén, M., &amp; Berntson, E. (2021). From Believing to Doing: The Association Between Leadership Self-Efficacy and the Deve</w:t>
      </w:r>
      <w:r w:rsidRPr="00C06198">
        <w:rPr>
          <w:rFonts w:ascii="Times New Roman" w:eastAsia="Times New Roman" w:hAnsi="Times New Roman" w:cs="Times New Roman"/>
          <w:color w:val="333333"/>
          <w:sz w:val="24"/>
          <w:szCs w:val="24"/>
          <w:lang w:val="en-US"/>
        </w:rPr>
        <w:t>lopmental Leadership Model. Frontiers in psychology, 12.</w:t>
      </w:r>
    </w:p>
    <w:p w:rsidR="00D15824" w:rsidRPr="00C06198" w:rsidRDefault="00591042">
      <w:pPr>
        <w:spacing w:line="360" w:lineRule="auto"/>
        <w:ind w:firstLine="720"/>
        <w:jc w:val="both"/>
        <w:rPr>
          <w:rFonts w:ascii="Times New Roman" w:eastAsia="Times New Roman" w:hAnsi="Times New Roman" w:cs="Times New Roman"/>
          <w:color w:val="333333"/>
          <w:sz w:val="24"/>
          <w:szCs w:val="24"/>
          <w:lang w:val="en-US"/>
        </w:rPr>
      </w:pPr>
      <w:r w:rsidRPr="00C06198">
        <w:rPr>
          <w:rFonts w:ascii="Times New Roman" w:eastAsia="Times New Roman" w:hAnsi="Times New Roman" w:cs="Times New Roman"/>
          <w:color w:val="333333"/>
          <w:sz w:val="24"/>
          <w:szCs w:val="24"/>
          <w:lang w:val="en-US"/>
        </w:rPr>
        <w:t>Salanova, M., Grau, R. M., &amp; Martínez, I. M. (2006). Job demands and coping behaviour: The moderating role of professional self-efficacy. Psychology in Spain.</w:t>
      </w:r>
    </w:p>
    <w:p w:rsidR="00D15824" w:rsidRDefault="00591042">
      <w:pPr>
        <w:spacing w:line="360" w:lineRule="auto"/>
        <w:ind w:firstLine="720"/>
        <w:jc w:val="both"/>
        <w:rPr>
          <w:rFonts w:ascii="Times New Roman" w:eastAsia="Times New Roman" w:hAnsi="Times New Roman" w:cs="Times New Roman"/>
          <w:color w:val="333333"/>
          <w:sz w:val="24"/>
          <w:szCs w:val="24"/>
        </w:rPr>
      </w:pPr>
      <w:r w:rsidRPr="00C06198">
        <w:rPr>
          <w:rFonts w:ascii="Times New Roman" w:eastAsia="Times New Roman" w:hAnsi="Times New Roman" w:cs="Times New Roman"/>
          <w:color w:val="333333"/>
          <w:sz w:val="24"/>
          <w:szCs w:val="24"/>
          <w:lang w:val="en-US"/>
        </w:rPr>
        <w:t xml:space="preserve">Kauppila, O. P., Ehrnrooth, M., Mäkelä, K., Smale, A., Sumelius, J., &amp; Vuorenmaa, H. (2022). Serving to help and helping to serve: using servant leadership to influence beyond supervisory relationships. </w:t>
      </w:r>
      <w:r>
        <w:rPr>
          <w:rFonts w:ascii="Times New Roman" w:eastAsia="Times New Roman" w:hAnsi="Times New Roman" w:cs="Times New Roman"/>
          <w:color w:val="333333"/>
          <w:sz w:val="24"/>
          <w:szCs w:val="24"/>
        </w:rPr>
        <w:t>Journal of Management, 48(3), 764-790.</w:t>
      </w: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spacing w:line="360" w:lineRule="auto"/>
        <w:jc w:val="both"/>
        <w:rPr>
          <w:rFonts w:ascii="Times New Roman" w:eastAsia="Times New Roman" w:hAnsi="Times New Roman" w:cs="Times New Roman"/>
          <w:b/>
          <w:sz w:val="24"/>
          <w:szCs w:val="24"/>
        </w:rPr>
      </w:pPr>
    </w:p>
    <w:p w:rsidR="00D15824" w:rsidRDefault="00D15824">
      <w:pPr>
        <w:jc w:val="both"/>
        <w:rPr>
          <w:rFonts w:ascii="Calibri" w:eastAsia="Calibri" w:hAnsi="Calibri" w:cs="Calibri"/>
          <w:b/>
          <w:sz w:val="24"/>
          <w:szCs w:val="24"/>
        </w:rPr>
      </w:pPr>
    </w:p>
    <w:sectPr w:rsidR="00D15824">
      <w:headerReference w:type="default" r:id="rId9"/>
      <w:footerReference w:type="default" r:id="rId10"/>
      <w:headerReference w:type="first" r:id="rId11"/>
      <w:footerReference w:type="first" r:id="rId12"/>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42" w:rsidRDefault="00591042">
      <w:pPr>
        <w:spacing w:line="240" w:lineRule="auto"/>
      </w:pPr>
      <w:r>
        <w:separator/>
      </w:r>
    </w:p>
  </w:endnote>
  <w:endnote w:type="continuationSeparator" w:id="0">
    <w:p w:rsidR="00591042" w:rsidRDefault="00591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24" w:rsidRDefault="00591042">
    <w:pPr>
      <w:jc w:val="right"/>
    </w:pPr>
    <w:r>
      <w:fldChar w:fldCharType="begin"/>
    </w:r>
    <w:r>
      <w:instrText>PAGE</w:instrText>
    </w:r>
    <w:r w:rsidR="00C06198">
      <w:fldChar w:fldCharType="separate"/>
    </w:r>
    <w:r w:rsidR="00C06198">
      <w:rPr>
        <w:noProof/>
      </w:rPr>
      <w:t>1</w:t>
    </w:r>
    <w:r>
      <w:fldChar w:fldCharType="end"/>
    </w:r>
  </w:p>
  <w:p w:rsidR="00D15824" w:rsidRDefault="00D15824">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24" w:rsidRDefault="00D1582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42" w:rsidRDefault="00591042">
      <w:pPr>
        <w:spacing w:line="240" w:lineRule="auto"/>
      </w:pPr>
      <w:r>
        <w:separator/>
      </w:r>
    </w:p>
  </w:footnote>
  <w:footnote w:type="continuationSeparator" w:id="0">
    <w:p w:rsidR="00591042" w:rsidRDefault="005910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24" w:rsidRDefault="00591042">
    <w:pPr>
      <w:rPr>
        <w:i/>
        <w:sz w:val="18"/>
        <w:szCs w:val="18"/>
      </w:rPr>
    </w:pPr>
    <w:r>
      <w:rPr>
        <w:rFonts w:ascii="Times New Roman" w:eastAsia="Times New Roman" w:hAnsi="Times New Roman" w:cs="Times New Roman"/>
        <w:i/>
        <w:color w:val="434343"/>
        <w:sz w:val="20"/>
        <w:szCs w:val="20"/>
      </w:rPr>
      <w:t>PS 1048 - Trabajo Final de Grado</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r>
      <w:rPr>
        <w:rFonts w:ascii="Calibri" w:eastAsia="Calibri" w:hAnsi="Calibri" w:cs="Calibri"/>
        <w:i/>
      </w:rPr>
      <w:tab/>
    </w:r>
    <w:r>
      <w:rPr>
        <w:noProof/>
        <w:lang w:val="en-US"/>
      </w:rPr>
      <w:drawing>
        <wp:inline distT="114300" distB="114300" distL="114300" distR="114300">
          <wp:extent cx="1033463" cy="262340"/>
          <wp:effectExtent l="0" t="0" r="0" b="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5061" t="19444" r="14576" b="19685"/>
                  <a:stretch>
                    <a:fillRect/>
                  </a:stretch>
                </pic:blipFill>
                <pic:spPr>
                  <a:xfrm>
                    <a:off x="0" y="0"/>
                    <a:ext cx="1033463" cy="262340"/>
                  </a:xfrm>
                  <a:prstGeom prst="rect">
                    <a:avLst/>
                  </a:prstGeom>
                  <a:ln/>
                </pic:spPr>
              </pic:pic>
            </a:graphicData>
          </a:graphic>
        </wp:inline>
      </w:drawing>
    </w:r>
    <w:r>
      <w:rPr>
        <w:rFonts w:ascii="Calibri" w:eastAsia="Calibri" w:hAnsi="Calibri" w:cs="Calibri"/>
        <w:i/>
      </w:rPr>
      <w:tab/>
    </w:r>
    <w:r>
      <w:rPr>
        <w:rFonts w:ascii="Calibri" w:eastAsia="Calibri" w:hAnsi="Calibri" w:cs="Calibri"/>
        <w:i/>
      </w:rPr>
      <w:tab/>
    </w:r>
  </w:p>
  <w:p w:rsidR="00D15824" w:rsidRDefault="00591042">
    <w:pPr>
      <w:rPr>
        <w:i/>
        <w:sz w:val="18"/>
        <w:szCs w:val="18"/>
      </w:rPr>
    </w:pPr>
    <w:r>
      <w:pict>
        <v:rect id="_x0000_i1025" style="width:0;height:1.5pt" o:hralign="center" o:hrstd="t" o:hr="t" fillcolor="#a0a0a0" stroked="f"/>
      </w:pict>
    </w:r>
  </w:p>
  <w:p w:rsidR="00D15824" w:rsidRDefault="00D15824">
    <w:pPr>
      <w:ind w:left="-708"/>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24" w:rsidRDefault="00591042">
    <w:pPr>
      <w:ind w:left="-708"/>
      <w:rPr>
        <w:i/>
        <w:sz w:val="18"/>
        <w:szCs w:val="18"/>
      </w:rPr>
    </w:pPr>
    <w:r>
      <w:rPr>
        <w:rFonts w:ascii="Times New Roman" w:eastAsia="Times New Roman" w:hAnsi="Times New Roman" w:cs="Times New Roman"/>
        <w:i/>
        <w:color w:val="434343"/>
      </w:rPr>
      <w:t xml:space="preserve">PS 1048 - Trabajo Final de Grado </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r>
      <w:rPr>
        <w:rFonts w:ascii="Calibri" w:eastAsia="Calibri" w:hAnsi="Calibri" w:cs="Calibri"/>
        <w:i/>
      </w:rPr>
      <w:tab/>
    </w:r>
    <w:r>
      <w:rPr>
        <w:noProof/>
        <w:lang w:val="en-US"/>
      </w:rPr>
      <w:drawing>
        <wp:inline distT="114300" distB="114300" distL="114300" distR="114300">
          <wp:extent cx="1033463" cy="262340"/>
          <wp:effectExtent l="0" t="0" r="0" b="0"/>
          <wp:docPr id="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5061" t="19444" r="14576" b="19685"/>
                  <a:stretch>
                    <a:fillRect/>
                  </a:stretch>
                </pic:blipFill>
                <pic:spPr>
                  <a:xfrm>
                    <a:off x="0" y="0"/>
                    <a:ext cx="1033463" cy="262340"/>
                  </a:xfrm>
                  <a:prstGeom prst="rect">
                    <a:avLst/>
                  </a:prstGeom>
                  <a:ln/>
                </pic:spPr>
              </pic:pic>
            </a:graphicData>
          </a:graphic>
        </wp:inline>
      </w:drawing>
    </w:r>
    <w:r>
      <w:rPr>
        <w:rFonts w:ascii="Calibri" w:eastAsia="Calibri" w:hAnsi="Calibri" w:cs="Calibri"/>
        <w:i/>
      </w:rPr>
      <w:tab/>
    </w:r>
  </w:p>
  <w:p w:rsidR="00D15824" w:rsidRDefault="00591042">
    <w:pPr>
      <w:ind w:left="-708"/>
      <w:rPr>
        <w:i/>
        <w:sz w:val="18"/>
        <w:szCs w:val="18"/>
      </w:rPr>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559B"/>
    <w:multiLevelType w:val="multilevel"/>
    <w:tmpl w:val="ADD0802C"/>
    <w:lvl w:ilvl="0">
      <w:start w:val="1"/>
      <w:numFmt w:val="decimal"/>
      <w:lvlText w:val="%1."/>
      <w:lvlJc w:val="left"/>
      <w:pPr>
        <w:ind w:left="720" w:hanging="360"/>
      </w:pPr>
      <w:rPr>
        <w:rFonts w:ascii="Calibri" w:eastAsia="Calibri" w:hAnsi="Calibri" w:cs="Calibri"/>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593473"/>
    <w:multiLevelType w:val="multilevel"/>
    <w:tmpl w:val="A05C8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D53EFB"/>
    <w:multiLevelType w:val="multilevel"/>
    <w:tmpl w:val="E5F0E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24"/>
    <w:rsid w:val="00591042"/>
    <w:rsid w:val="00C06198"/>
    <w:rsid w:val="00D1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154BA9-5183-41A7-8990-025069E0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ol">
    <w:name w:val="Subtitle"/>
    <w:basedOn w:val="Normal"/>
    <w:next w:val="Normal"/>
    <w:pPr>
      <w:keepNext/>
      <w:keepLines/>
      <w:spacing w:after="320"/>
    </w:pPr>
    <w:rPr>
      <w:color w:val="666666"/>
      <w:sz w:val="30"/>
      <w:szCs w:val="30"/>
    </w:rPr>
  </w:style>
  <w:style w:type="character" w:styleId="Refernciadecomentari">
    <w:name w:val="annotation reference"/>
    <w:basedOn w:val="Tipusdelletraperdefectedelpargraf"/>
    <w:uiPriority w:val="99"/>
    <w:semiHidden/>
    <w:unhideWhenUsed/>
    <w:rsid w:val="00C55548"/>
    <w:rPr>
      <w:sz w:val="16"/>
      <w:szCs w:val="16"/>
    </w:rPr>
  </w:style>
  <w:style w:type="paragraph" w:styleId="Textdecomentari">
    <w:name w:val="annotation text"/>
    <w:basedOn w:val="Normal"/>
    <w:link w:val="TextdecomentariCar"/>
    <w:uiPriority w:val="99"/>
    <w:semiHidden/>
    <w:unhideWhenUsed/>
    <w:rsid w:val="00C5554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55548"/>
    <w:rPr>
      <w:sz w:val="20"/>
      <w:szCs w:val="20"/>
    </w:rPr>
  </w:style>
  <w:style w:type="paragraph" w:styleId="Temadelcomentari">
    <w:name w:val="annotation subject"/>
    <w:basedOn w:val="Textdecomentari"/>
    <w:next w:val="Textdecomentari"/>
    <w:link w:val="TemadelcomentariCar"/>
    <w:uiPriority w:val="99"/>
    <w:semiHidden/>
    <w:unhideWhenUsed/>
    <w:rsid w:val="00C55548"/>
    <w:rPr>
      <w:b/>
      <w:bCs/>
    </w:rPr>
  </w:style>
  <w:style w:type="character" w:customStyle="1" w:styleId="TemadelcomentariCar">
    <w:name w:val="Tema del comentari Car"/>
    <w:basedOn w:val="TextdecomentariCar"/>
    <w:link w:val="Temadelcomentari"/>
    <w:uiPriority w:val="99"/>
    <w:semiHidden/>
    <w:rsid w:val="00C55548"/>
    <w:rPr>
      <w:b/>
      <w:bCs/>
      <w:sz w:val="20"/>
      <w:szCs w:val="20"/>
    </w:rPr>
  </w:style>
  <w:style w:type="paragraph" w:styleId="Textdeglobus">
    <w:name w:val="Balloon Text"/>
    <w:basedOn w:val="Normal"/>
    <w:link w:val="TextdeglobusCar"/>
    <w:uiPriority w:val="99"/>
    <w:semiHidden/>
    <w:unhideWhenUsed/>
    <w:rsid w:val="00C55548"/>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55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mWpp/u1Qa41J2FKBGeV1G853A==">AMUW2mX9iyBXXfp+5b/gDq/5fSm+3PlC5H3cacKaQ8PaQlo2hgJY8kU42Bwf5hvsYVDQHjEXK/t4KAYp2/xNtA4FZEyeRONNmCqGlwOMODbDGLtJhiz+Vl7Zc7F4ieBO2VcjFsOKEmk21yGxexcAZjBRjhM838waC9WeiDwf6zoQ8Dw9Wjpmd2lzDeniJD/2Pk5h4x5OkRuXmiwPIWLuiZL5DUHTCkOpg2ZEiEmzDFFlop7OP/rrWSZgYXe+a72ljzN9H+9ZvH+TMw65hwHatJXpd1IsZlSJgtOP9ddybi7l0rIyjZR4NnYKuAH3Cc6OmRgUgV1UyS3QT12gE4V+Tg20pwP47gDC2jdV2Za+jwObrWcIRw82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3389</Words>
  <Characters>19321</Characters>
  <Application>Microsoft Office Word</Application>
  <DocSecurity>0</DocSecurity>
  <Lines>161</Lines>
  <Paragraphs>45</Paragraphs>
  <ScaleCrop>false</ScaleCrop>
  <HeadingPairs>
    <vt:vector size="2" baseType="variant">
      <vt:variant>
        <vt:lpstr>Títol</vt:lpstr>
      </vt:variant>
      <vt:variant>
        <vt:i4>1</vt:i4>
      </vt:variant>
    </vt:vector>
  </HeadingPairs>
  <TitlesOfParts>
    <vt:vector size="1" baseType="lpstr">
      <vt:lpstr/>
    </vt:vector>
  </TitlesOfParts>
  <Company>Universitat Jaume I</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laritza</dc:creator>
  <cp:lastModifiedBy>Usuario de Windows</cp:lastModifiedBy>
  <cp:revision>2</cp:revision>
  <dcterms:created xsi:type="dcterms:W3CDTF">2022-07-04T14:01:00Z</dcterms:created>
  <dcterms:modified xsi:type="dcterms:W3CDTF">2022-07-04T14:01:00Z</dcterms:modified>
</cp:coreProperties>
</file>